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1A4D" w:rsidRDefault="001F2158">
      <w:pPr>
        <w:spacing w:after="300" w:line="276" w:lineRule="auto"/>
        <w:jc w:val="center"/>
      </w:pPr>
      <w:r>
        <w:rPr>
          <w:rFonts w:ascii="Times New Roman" w:eastAsia="Times New Roman" w:hAnsi="Times New Roman" w:cs="Times New Roman"/>
          <w:b/>
          <w:sz w:val="26"/>
        </w:rPr>
        <w:t>Chi tiết thủ tục hành chính</w:t>
      </w:r>
    </w:p>
    <w:p w:rsidR="00EC1A4D" w:rsidRDefault="001F215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1.012285</w:t>
      </w:r>
    </w:p>
    <w:p w:rsidR="00EC1A4D" w:rsidRDefault="001F215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rsidR="00EC1A4D" w:rsidRDefault="001F215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thí điểm áp dụng kỹ thuật mới, phương pháp mới</w:t>
      </w:r>
    </w:p>
    <w:p w:rsidR="00EC1A4D" w:rsidRDefault="001F215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C1A4D" w:rsidRDefault="001F215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C1A4D" w:rsidRDefault="001F215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EC1A4D" w:rsidRDefault="001F2158">
      <w:pPr>
        <w:spacing w:after="0" w:line="276" w:lineRule="auto"/>
        <w:jc w:val="both"/>
      </w:pPr>
      <w:r>
        <w:rPr>
          <w:rFonts w:ascii="Times New Roman" w:eastAsia="Times New Roman" w:hAnsi="Times New Roman" w:cs="Times New Roman"/>
          <w:b/>
          <w:sz w:val="26"/>
        </w:rPr>
        <w:t xml:space="preserve">Trình tự thực hiện: </w:t>
      </w:r>
    </w:p>
    <w:p w:rsidR="00EC1A4D" w:rsidRDefault="00EC1A4D">
      <w:pPr>
        <w:shd w:val="clear" w:color="auto" w:fill="F2F6F9"/>
        <w:spacing w:before="120" w:after="0" w:line="276" w:lineRule="auto"/>
        <w:jc w:val="both"/>
      </w:pPr>
    </w:p>
    <w:p w:rsidR="00EC1A4D" w:rsidRDefault="001F2158">
      <w:pPr>
        <w:spacing w:after="0" w:line="276" w:lineRule="auto"/>
        <w:jc w:val="both"/>
      </w:pPr>
      <w:r>
        <w:rPr>
          <w:rFonts w:ascii="Times New Roman" w:eastAsia="Times New Roman" w:hAnsi="Times New Roman" w:cs="Times New Roman"/>
          <w:sz w:val="26"/>
        </w:rPr>
        <w:t>Bước 1:  Cơ sở đề nghị thực hiện thí điểm kỹ thuật mới, phương pháp mới gửi hồ sơ quy định tại khoản 2 Điều 97 Nghị định số 96/2023/NĐ-CP về: 1. Cục Quản lý Khám chữa bệnh: đối với các kỹ thuật, phương pháp không có trong danh mục chuyên môn kỹ thuật trừ các kỹ thuật, phương pháp trong khám bệnh, chữa bệnh y học cổ truyền; 2. Cục Quản lý Y, Dược cổ truyền: đối với các kỹ thuật, phương pháp trong khám bệnh, chữa bệnh y học cổ truyền không có trong danh mục chuyên môn kỹ thuật. Bước 2:  Sau khi nhận hồ sơ, Cơ</w:t>
      </w:r>
      <w:r>
        <w:rPr>
          <w:rFonts w:ascii="Times New Roman" w:eastAsia="Times New Roman" w:hAnsi="Times New Roman" w:cs="Times New Roman"/>
          <w:sz w:val="26"/>
        </w:rPr>
        <w:t xml:space="preserve"> quan tiếp nhận hồ sơ (Cục Quản lý Khám, Chữa bệnh; Cục Quản lý Y, Dược Cổ truyền) trả cho cơ sở đề nghị thực hiện thí điểm kỹ thuật mới, phương pháp mới phiếu tiếp nhận hồ sơ; Bước 3:  Trường hợp không có yêu cầu sửa đổi, bổ sung hồ sơ, cơ quan tiếp nhận hồ sơ có trách nhiệm tổ chức thẩm định trong thời hạn 30 ngày, kể từ ngày ghi trên phiếu tiếp nhận hồ sơ. Trường hợp cần thiết có thể tổ chức thẩm định thực tế tại cơ sở đề nghị thực hiện thí điểm áp dụng kỹ thuật mới, phương pháp mới; Bước 4: Trong thời h</w:t>
      </w:r>
      <w:r>
        <w:rPr>
          <w:rFonts w:ascii="Times New Roman" w:eastAsia="Times New Roman" w:hAnsi="Times New Roman" w:cs="Times New Roman"/>
          <w:sz w:val="26"/>
        </w:rPr>
        <w:t xml:space="preserve">ạn 15 ngày, kể từ ngày có biên bản thẩm định, Cơ quan tiếp nhận hồ sơ ban hành văn bản cho phép thực hiện thí điểm kỹ thuật mới, phương pháp mới, trong đó phải ghi rõ số lượng ca bệnh thực hiện thí điểm. Trường hợp từ chối phải có văn bản trả lời và nêu rõ lý do; Trường hợp có yêu cầu sửa đổi, bổ sung hồ sơ, trong thời hạn 15 ngày, kể từ ngày ghi trên phiếu tiếp nhận hồ sơ, cơ quan tiếp nhận hồ sơ có văn bản gửi cơ sở đề nghị thực hiện thí điểm kỹ thuật mới, phương pháp mới trong đó phải nêu cụ thể các tài </w:t>
      </w:r>
      <w:r>
        <w:rPr>
          <w:rFonts w:ascii="Times New Roman" w:eastAsia="Times New Roman" w:hAnsi="Times New Roman" w:cs="Times New Roman"/>
          <w:sz w:val="26"/>
        </w:rPr>
        <w:t>liệu, nội dung cần sửa đổi, bổ sung  Bước 5: Sau khi nhận hồ sơ sửa đổi, bổ sung, cơ quan tiếp nhận hồ sơ trả cho cơ sở đề nghị áp dụng kỹ thuật mới, phương pháp mới phiếu tiếp nhận hồ sơ bổ sung và thực hiện lại quy trình theo quy định tại các điểm c, d khoản này; Trường hợp hồ sơ sửa đổi, bổ sung không đáp ứng yêu cầu, Cơ quan tiếp nhận hồ sơ có văn bản thông báo cho cơ sở đề nghị áp dụng kỹ thuật mới, phương pháp mới theo quy định tại điểm đ khoản này; Trong thời hạn 06 tháng, kể từ ngày cơ quan tiếp nhậ</w:t>
      </w:r>
      <w:r>
        <w:rPr>
          <w:rFonts w:ascii="Times New Roman" w:eastAsia="Times New Roman" w:hAnsi="Times New Roman" w:cs="Times New Roman"/>
          <w:sz w:val="26"/>
        </w:rPr>
        <w:t>n hồ sơ có văn bản thông báo sửa đổi, bổ sung, cơ sở đề nghị áp dụng kỹ thuật phải nộp hồ sơ sửa đổi, bổ sung theo yêu cầu. Sau thời hạn trên, cơ sở đề nghị thực hiện thí điểm kỹ thuật mới, phương pháp mới không sửa đổi, bổ sung hoặc sau 12 tháng, kể từ ngày nộp hồ sơ lần đầu mà hồ sơ bổ sung không đáp ứng yêu cầu thì hồ sơ đã nộp không còn giá trị</w:t>
      </w:r>
    </w:p>
    <w:p w:rsidR="00EC1A4D" w:rsidRDefault="001F2158">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4"/>
        <w:gridCol w:w="1577"/>
        <w:gridCol w:w="2553"/>
        <w:gridCol w:w="3747"/>
      </w:tblGrid>
      <w:tr w:rsidR="00EC1A4D">
        <w:tblPrEx>
          <w:tblCellMar>
            <w:top w:w="0" w:type="dxa"/>
            <w:bottom w:w="0" w:type="dxa"/>
          </w:tblCellMar>
        </w:tblPrEx>
        <w:tc>
          <w:tcPr>
            <w:tcW w:w="15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Hình thức nộp</w:t>
            </w:r>
          </w:p>
        </w:tc>
        <w:tc>
          <w:tcPr>
            <w:tcW w:w="2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Phí, lệ phí</w:t>
            </w:r>
          </w:p>
        </w:tc>
        <w:tc>
          <w:tcPr>
            <w:tcW w:w="3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Mô tả</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Trực tiếp</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w:t>
            </w:r>
          </w:p>
        </w:tc>
        <w:tc>
          <w:tcPr>
            <w:tcW w:w="0" w:type="auto"/>
          </w:tcPr>
          <w:p w:rsidR="00EC1A4D" w:rsidRDefault="00EC1A4D"/>
          <w:p w:rsidR="00EC1A4D" w:rsidRDefault="00EC1A4D">
            <w:pPr>
              <w:spacing w:after="0" w:line="276" w:lineRule="auto"/>
            </w:pP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 kể từ ngày ghi trên phiếu tiếp nhận hồ sơ</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Trực tuyến</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w:t>
            </w:r>
          </w:p>
        </w:tc>
        <w:tc>
          <w:tcPr>
            <w:tcW w:w="0" w:type="auto"/>
          </w:tcPr>
          <w:p w:rsidR="00EC1A4D" w:rsidRDefault="00EC1A4D"/>
          <w:p w:rsidR="00EC1A4D" w:rsidRDefault="00EC1A4D">
            <w:pPr>
              <w:spacing w:after="0" w:line="276" w:lineRule="auto"/>
            </w:pP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 kể từ ngày ghi trên phiếu tiếp nhận hồ sơ</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Dịch vụ bưu chính</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w:t>
            </w:r>
          </w:p>
        </w:tc>
        <w:tc>
          <w:tcPr>
            <w:tcW w:w="0" w:type="auto"/>
          </w:tcPr>
          <w:p w:rsidR="00EC1A4D" w:rsidRDefault="00EC1A4D"/>
          <w:p w:rsidR="00EC1A4D" w:rsidRDefault="00EC1A4D">
            <w:pPr>
              <w:spacing w:after="0" w:line="276" w:lineRule="auto"/>
            </w:pP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45 ngày kể từ ngày ghi trên phiếu tiếp nhận hồ sơ</w:t>
            </w:r>
          </w:p>
        </w:tc>
      </w:tr>
    </w:tbl>
    <w:p w:rsidR="00EC1A4D" w:rsidRDefault="001F2158">
      <w:pPr>
        <w:spacing w:before="240" w:after="0" w:line="276" w:lineRule="auto"/>
        <w:jc w:val="both"/>
      </w:pPr>
      <w:r>
        <w:rPr>
          <w:rFonts w:ascii="Times New Roman" w:eastAsia="Times New Roman" w:hAnsi="Times New Roman" w:cs="Times New Roman"/>
          <w:b/>
          <w:sz w:val="26"/>
        </w:rPr>
        <w:t xml:space="preserve">Thành phần hồ sơ: </w:t>
      </w:r>
    </w:p>
    <w:p w:rsidR="00EC1A4D" w:rsidRDefault="001F215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0"/>
        <w:gridCol w:w="1078"/>
        <w:gridCol w:w="933"/>
      </w:tblGrid>
      <w:tr w:rsidR="00EC1A4D">
        <w:tblPrEx>
          <w:tblCellMar>
            <w:top w:w="0" w:type="dxa"/>
            <w:bottom w:w="0" w:type="dxa"/>
          </w:tblCellMar>
        </w:tblPrEx>
        <w:tc>
          <w:tcPr>
            <w:tcW w:w="6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Tên giấy tờ</w:t>
            </w:r>
          </w:p>
        </w:tc>
        <w:tc>
          <w:tcPr>
            <w:tcW w:w="2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Mẫu đơn, tờ khai</w:t>
            </w:r>
          </w:p>
        </w:tc>
        <w:tc>
          <w:tcPr>
            <w:tcW w:w="2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Số lượng</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1. Văn bản đề nghị áp dụng thí điểm kỹ thuật mới, phương pháp mới theo Mẫu 02 Phụ lục VI ban hành kèm theo Nghị định số 96/2023/NĐ-CP</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Mẫu 02.docx</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2. Quy trình kỹ thuật để triển khai áp dụng kỹ thuật mới, phương pháp mới</w:t>
            </w:r>
          </w:p>
        </w:tc>
        <w:tc>
          <w:tcPr>
            <w:tcW w:w="0" w:type="auto"/>
          </w:tcPr>
          <w:p w:rsidR="00EC1A4D" w:rsidRDefault="00EC1A4D"/>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 xml:space="preserve">3. Các giấy tờ chứng minh đáp ứng yêu cầu về nhân lực, cơ sở vật chất, thiết bị y tế và các điều kiện khác để thực hiện kỹ thuật mới, phương pháp mới, bao gồm: - Danh sách ghi rõ họ, tên và số giấy phép hành nghề đã được cấp của những người hành nghề dự kiến tham </w:t>
            </w:r>
            <w:r>
              <w:rPr>
                <w:rFonts w:ascii="Times New Roman" w:eastAsia="Times New Roman" w:hAnsi="Times New Roman" w:cs="Times New Roman"/>
                <w:sz w:val="26"/>
              </w:rPr>
              <w:lastRenderedPageBreak/>
              <w:t>gia thực hiện kỹ thuật mới, phương pháp mới; - Sơ đồ mặt bằng của nơi dự kiến triển khai kỹ thuật mới, phương pháp mới; - Danh mục thiết bị y tế thực hiện kỹ thuật mới, phương pháp mới; - Các giấy tờ chứng minh đáp ứng các điều kiện khác</w:t>
            </w:r>
          </w:p>
        </w:tc>
        <w:tc>
          <w:tcPr>
            <w:tcW w:w="0" w:type="auto"/>
          </w:tcPr>
          <w:p w:rsidR="00EC1A4D" w:rsidRDefault="00EC1A4D"/>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4. Bảng dự kiến giá dịch vụ kỹ thuật kèm theo định mức kinh tế - kỹ thuật để tính giá</w:t>
            </w:r>
          </w:p>
        </w:tc>
        <w:tc>
          <w:tcPr>
            <w:tcW w:w="0" w:type="auto"/>
          </w:tcPr>
          <w:p w:rsidR="00EC1A4D" w:rsidRDefault="00EC1A4D"/>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C1A4D" w:rsidRDefault="001F215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EC1A4D" w:rsidRDefault="001F215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rsidR="00EC1A4D" w:rsidRDefault="001F215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C1A4D" w:rsidRDefault="001F215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C1A4D" w:rsidRDefault="001F215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C1A4D" w:rsidRDefault="001F215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C1A4D" w:rsidRDefault="001F215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cho phép</w:t>
      </w:r>
    </w:p>
    <w:p w:rsidR="00EC1A4D" w:rsidRDefault="001F215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EC1A4D">
        <w:tblPrEx>
          <w:tblCellMar>
            <w:top w:w="0" w:type="dxa"/>
            <w:bottom w:w="0" w:type="dxa"/>
          </w:tblCellMar>
        </w:tblPrEx>
        <w:tc>
          <w:tcPr>
            <w:tcW w:w="2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Số ký hiệu</w:t>
            </w:r>
          </w:p>
        </w:tc>
        <w:tc>
          <w:tcPr>
            <w:tcW w:w="35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Trích yếu</w:t>
            </w:r>
          </w:p>
        </w:tc>
        <w:tc>
          <w:tcPr>
            <w:tcW w:w="15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Ngày ban hành</w:t>
            </w:r>
          </w:p>
        </w:tc>
        <w:tc>
          <w:tcPr>
            <w:tcW w:w="3000" w:type="dxa"/>
          </w:tcPr>
          <w:p w:rsidR="00EC1A4D" w:rsidRDefault="00EC1A4D"/>
          <w:p w:rsidR="00EC1A4D" w:rsidRDefault="001F2158">
            <w:pPr>
              <w:spacing w:after="0" w:line="276" w:lineRule="auto"/>
              <w:jc w:val="center"/>
            </w:pPr>
            <w:r>
              <w:rPr>
                <w:rFonts w:ascii="Times New Roman" w:eastAsia="Times New Roman" w:hAnsi="Times New Roman" w:cs="Times New Roman"/>
                <w:b/>
                <w:sz w:val="26"/>
              </w:rPr>
              <w:t>Cơ quan ban hành</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15/2023/QH15</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Luật Khám, chữa bệnh 15/2023/QH15 (09/1/2023)</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30-12-2023</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Ủy ban thường vụ quốc hội</w:t>
            </w:r>
          </w:p>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96/2023/NĐ-CP</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30-12-2023</w:t>
            </w:r>
          </w:p>
        </w:tc>
        <w:tc>
          <w:tcPr>
            <w:tcW w:w="0" w:type="auto"/>
          </w:tcPr>
          <w:p w:rsidR="00EC1A4D" w:rsidRDefault="00EC1A4D"/>
        </w:tc>
      </w:tr>
      <w:tr w:rsidR="00EC1A4D">
        <w:tblPrEx>
          <w:tblCellMar>
            <w:top w:w="0" w:type="dxa"/>
            <w:bottom w:w="0" w:type="dxa"/>
          </w:tblCellMar>
        </w:tblPrEx>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57/2024/TT-BYT</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31-12-2024</w:t>
            </w:r>
          </w:p>
        </w:tc>
        <w:tc>
          <w:tcPr>
            <w:tcW w:w="0" w:type="auto"/>
          </w:tcPr>
          <w:p w:rsidR="00EC1A4D" w:rsidRDefault="00EC1A4D"/>
          <w:p w:rsidR="00EC1A4D" w:rsidRDefault="001F2158">
            <w:pPr>
              <w:spacing w:after="0" w:line="276" w:lineRule="auto"/>
            </w:pPr>
            <w:r>
              <w:rPr>
                <w:rFonts w:ascii="Times New Roman" w:eastAsia="Times New Roman" w:hAnsi="Times New Roman" w:cs="Times New Roman"/>
                <w:sz w:val="26"/>
              </w:rPr>
              <w:t>Bộ Y tế</w:t>
            </w:r>
          </w:p>
        </w:tc>
      </w:tr>
    </w:tbl>
    <w:p w:rsidR="00EC1A4D" w:rsidRDefault="001F215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w:t>
      </w:r>
      <w:r>
        <w:rPr>
          <w:rFonts w:ascii="Times New Roman" w:eastAsia="Times New Roman" w:hAnsi="Times New Roman" w:cs="Times New Roman"/>
          <w:sz w:val="26"/>
        </w:rPr>
        <w:t>Yêu cầu điều kiện tại khoản 1 Điều 91 Nghị định: Cơ sở khám bệnh, chữa bệnh đề nghị thực hiện thí điểm kỹ thuật mới, phương pháp mới phải đáp ứng các điều kiện sau đây: a) Có quy trình kỹ thuật để triển khai áp dụng kỹ thuật mới, phương pháp mới được người đứng đầu cơ sở khám bệnh, chữa bệnh phê duyệt. Quy trình phải bao gồm tối thiểu các nội dung sau: tên quy trình; đại cương và định nghĩa; chỉ định; chống chỉ định; hướng dẫn việc chuẩn bị, thực hiện quy trình (yêu cầu nhân lực, cơ sở vật chất, thuốc, thiế</w:t>
      </w:r>
      <w:r>
        <w:rPr>
          <w:rFonts w:ascii="Times New Roman" w:eastAsia="Times New Roman" w:hAnsi="Times New Roman" w:cs="Times New Roman"/>
          <w:sz w:val="26"/>
        </w:rPr>
        <w:t>t bị y tế và các điều kiện khác); các bước tiến hành; theo dõi; xử trí tai biến và các ghi chú khác (nếu có). b) Có đủ nhân lực, cơ sở vật chất, thiết bị y tế và các điều kiện khác đáp ứng với yêu cầu thực hiện kỹ thuật mới, phương pháp mới theo quy trình kỹ thuật đã được phê duyệt quy định tại khoản 3 Điều này, trong đó người thực hiện kỹ thuật mới, phương pháp mới phải đáp ứng đủ các điều kiện sau đây:  - Có giấy phép hành nghề khám bệnh, chữa bệnh mà phạm vi hành nghề phù hợp với kỹ thuật mới, phương phá</w:t>
      </w:r>
      <w:r>
        <w:rPr>
          <w:rFonts w:ascii="Times New Roman" w:eastAsia="Times New Roman" w:hAnsi="Times New Roman" w:cs="Times New Roman"/>
          <w:sz w:val="26"/>
        </w:rPr>
        <w:t>p mới; - Có một trong các giấy tờ sau: chứng chỉ hoặc chứng nhận đã được đào tạo về kỹ thuật mới, phương pháp mới dự kiến thực hiện do cơ sở có chức năng đào tạo cấp hoặc giấy chứng nhận tập huấn chuyển giao kỹ thuật mới, phương pháp mới do cơ sở khám bệnh, chữa bệnh trong nước hoặc nước ngoài cấp;  - Là người đã đăng ký hành nghề tại cơ sở khám bệnh, chữa bệnh.</w:t>
      </w:r>
    </w:p>
    <w:p w:rsidR="00EC1A4D" w:rsidRDefault="001F215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C1A4D" w:rsidRDefault="001F215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https://thutuc.dichvucong.gov.vn/p/home/dvc-tthc-thu-tuc-hanh-chinh-chi-tiet.html?ma_thu_tuc=333198</w:t>
      </w:r>
    </w:p>
    <w:sectPr w:rsidR="00EC1A4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1A4D"/>
    <w:rsid w:val="001F2158"/>
    <w:rsid w:val="006F5C4B"/>
    <w:rsid w:val="00EC1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0853A0-37BE-4ADF-8557-020415992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