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1.012298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159/QĐ-BYT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kết quả nghiên cứu thử nghiệm lâm sàng thiết bị y tế</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Đào tạo và Nghiên cứu khoa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nhận thử nghiệm lâm sàng gửi trực tiếp, trực tuyến hoặc qua đường bưu chính 01 bộ hồ sơ đề nghị phê duyệt kết quả thử nghiệm lâm sàng bằng tiếng Việt đến Bộ Y tế..
Bước 2: 
Bộ Y tế kiểm tra tính hợp lệ của hồ sơ trong thời hạn 05 ngày làm việc kể từ ngày nhận được hồ sơ. Trường hợp hồ sơ hợp lệ, trong thời hạn 02 ngày làm việc Bộ Y tế chuyển hồ sơ đến Hội đồng đạo đức quốc gia để thẩm định. Trường hợp hồ sơ không hợp lệ, trong thời hạn 02 ngày làm việc Bộ Y tế phải có văn bản thông báo, hướng dẫn cụ thể cho cơ sở bổ sung hồ sơ.
Cơ sở nhận thử nghiệm lâm sàng có trách nhiệm hoàn thiện hồ sơ trong thời hạn tối đa 60 ngày kể từ ngày nhận được văn bản thông báo. Quá thời hạn này, thủ tục phê duyệt kết quả thử nghiệm lâm sàng phải thực hiện lại từ đầu.
Bước 3: 
Hội đồng đạo đức quốc gia thực hiện việc thẩm định, đánh giá về khía cạnh đạo đức trong nghiên cứu theo quy định của Bộ trưởng Bộ Y tế.
Bước 4: 
Trong thời hạn 05 ngày làm việc kể từ ngày nhận được Giấy chứng nhận chấp thuận kết quả thử nghiệm lâm sàng của Hội đồng đạo đức quốc gia và hồ sơ kèm theo, Bộ Y tế quyết định phê duyệt kết quả thử nghiệm lâm sàng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Thời hạn giải quyết:  40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Thời hạn giải quyết:  40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Thời hạn giải quyết:  40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phê duyệt kết quả thử nghiệm lâm sàng thiết bị y tế;</w:t>
            </w:r>
          </w:p>
        </w:tc>
        <w:tc>
          <w:p/>
          <w:p>
            <w:pPr>
              <w:spacing w:after="0" w:before="0" w:lineRule="auto" w:line="276"/>
              <w:jc w:val="left"/>
            </w:pPr>
            <w:r>
              <w:rPr>
                <w:rFonts w:ascii="Times New Roman" w:hAnsi="Times New Roman" w:cs="Times New Roman" w:eastAsia="Times New Roman"/>
                <w:b w:val="false"/>
                <w:sz w:val="26"/>
              </w:rPr>
              <w:t>Mẫu 14 - Văn bản đề nghị phê duyệt kết quả nghiên cứu thử nghiệm lâm sàng thiết bị y tế.docx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đề cương nghiên cứu đã được phê duyệt;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Quyết định phê duyệt thử nghiệm lâm sàng;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Biên bản thẩm định kết quả thử nghiệm lâm sàng thiết bị y tế của Hội đồng đạo đức trong nghiên cứu y sinh học cấp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kết quả thử nghiệm lâm sàng thiết bị y tế.</w:t>
            </w:r>
          </w:p>
        </w:tc>
        <w:tc>
          <w:p/>
          <w:p>
            <w:pPr>
              <w:spacing w:after="0" w:before="0" w:lineRule="auto" w:line="276"/>
              <w:jc w:val="left"/>
            </w:pPr>
            <w:r>
              <w:rPr>
                <w:rFonts w:ascii="Times New Roman" w:hAnsi="Times New Roman" w:cs="Times New Roman" w:eastAsia="Times New Roman"/>
                <w:b w:val="false"/>
                <w:sz w:val="26"/>
              </w:rPr>
              <w:t>Mẫu 15 - Báo cáo kết quả nghiên cứu thử nghiệm lâm sàng thiết bị y tế.docx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Khoa học Công nghệ và Đào tạo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98/2021/NĐ-CP</w:t>
            </w:r>
          </w:p>
        </w:tc>
        <w:tc>
          <w:p/>
          <w:p>
            <w:pPr>
              <w:spacing w:after="0" w:before="0" w:lineRule="auto" w:line="276"/>
              <w:jc w:val="left"/>
            </w:pPr>
            <w:r>
              <w:rPr>
                <w:rFonts w:ascii="Times New Roman" w:hAnsi="Times New Roman" w:cs="Times New Roman" w:eastAsia="Times New Roman"/>
                <w:b w:val="false"/>
                <w:sz w:val="26"/>
              </w:rPr>
              <w:t>Nghị định 98/2021/NĐ-CP</w:t>
            </w:r>
          </w:p>
        </w:tc>
        <w:tc>
          <w:p/>
          <w:p>
            <w:pPr>
              <w:spacing w:after="0" w:before="0" w:lineRule="auto" w:line="276"/>
              <w:jc w:val="left"/>
            </w:pPr>
            <w:r>
              <w:rPr>
                <w:rFonts w:ascii="Times New Roman" w:hAnsi="Times New Roman" w:cs="Times New Roman" w:eastAsia="Times New Roman"/>
                <w:b w:val="false"/>
                <w:sz w:val="26"/>
              </w:rPr>
              <w:t>08-11-2021</w:t>
            </w:r>
          </w:p>
        </w:tc>
        <w:tc>
          <w:p/>
        </w:tc>
      </w:tr>
      <w:tr>
        <w:tc>
          <w:p/>
          <w:p>
            <w:pPr>
              <w:spacing w:after="0" w:before="0" w:lineRule="auto" w:line="276"/>
              <w:jc w:val="left"/>
            </w:pPr>
            <w:r>
              <w:rPr>
                <w:rFonts w:ascii="Times New Roman" w:hAnsi="Times New Roman" w:cs="Times New Roman" w:eastAsia="Times New Roman"/>
                <w:b w:val="false"/>
                <w:sz w:val="26"/>
              </w:rPr>
              <w:t>15/2023/QH15</w:t>
            </w:r>
          </w:p>
        </w:tc>
        <w:tc>
          <w:p/>
          <w:p>
            <w:pPr>
              <w:spacing w:after="0" w:before="0" w:lineRule="auto" w:line="276"/>
              <w:jc w:val="left"/>
            </w:pPr>
            <w:r>
              <w:rPr>
                <w:rFonts w:ascii="Times New Roman" w:hAnsi="Times New Roman" w:cs="Times New Roman" w:eastAsia="Times New Roman"/>
                <w:b w:val="false"/>
                <w:sz w:val="26"/>
              </w:rPr>
              <w:t>Luật Khám, chữa bệnh 15/2023/QH15 (09/1/2023)</w:t>
            </w:r>
          </w:p>
        </w:tc>
        <w:tc>
          <w:p/>
          <w:p>
            <w:pPr>
              <w:spacing w:after="0" w:before="0" w:lineRule="auto" w:line="276"/>
              <w:jc w:val="left"/>
            </w:pPr>
            <w:r>
              <w:rPr>
                <w:rFonts w:ascii="Times New Roman" w:hAnsi="Times New Roman" w:cs="Times New Roman" w:eastAsia="Times New Roman"/>
                <w:b w:val="false"/>
                <w:sz w:val="26"/>
              </w:rPr>
              <w:t>30-12-2023</w:t>
            </w:r>
          </w:p>
        </w:tc>
        <w:tc>
          <w:p/>
          <w:p>
            <w:pPr>
              <w:spacing w:after="0" w:before="0" w:lineRule="auto" w:line="276"/>
              <w:jc w:val="left"/>
            </w:pPr>
            <w:r>
              <w:rPr>
                <w:rFonts w:ascii="Times New Roman" w:hAnsi="Times New Roman" w:cs="Times New Roman" w:eastAsia="Times New Roman"/>
                <w:b w:val="false"/>
                <w:sz w:val="26"/>
              </w:rPr>
              <w:t>Ủy ban thường vụ quốc hội</w:t>
            </w:r>
          </w:p>
        </w:tc>
      </w:tr>
      <w:tr>
        <w:tc>
          <w:p/>
          <w:p>
            <w:pPr>
              <w:spacing w:after="0" w:before="0" w:lineRule="auto" w:line="276"/>
              <w:jc w:val="left"/>
            </w:pPr>
            <w:r>
              <w:rPr>
                <w:rFonts w:ascii="Times New Roman" w:hAnsi="Times New Roman" w:cs="Times New Roman" w:eastAsia="Times New Roman"/>
                <w:b w:val="false"/>
                <w:sz w:val="26"/>
              </w:rPr>
              <w:t>96/2023/NĐ-CP</w:t>
            </w:r>
          </w:p>
        </w:tc>
        <w:tc>
          <w:p/>
          <w:p>
            <w:pPr>
              <w:spacing w:after="0" w:before="0" w:lineRule="auto" w:line="276"/>
              <w:jc w:val="left"/>
            </w:pPr>
            <w:r>
              <w:rPr>
                <w:rFonts w:ascii="Times New Roman" w:hAnsi="Times New Roman" w:cs="Times New Roman" w:eastAsia="Times New Roman"/>
                <w:b w:val="false"/>
                <w:sz w:val="26"/>
              </w:rPr>
              <w:t>Nghị định số 96/2023/NĐ-CP ngày 30 tháng 12 năm 2023 của Chính phủ quy định chi tiết một số điều của Luật Khám bệnh, chữa bệnh.</w:t>
            </w:r>
          </w:p>
        </w:tc>
        <w:tc>
          <w:p/>
          <w:p>
            <w:pPr>
              <w:spacing w:after="0" w:before="0" w:lineRule="auto" w:line="276"/>
              <w:jc w:val="left"/>
            </w:pPr>
            <w:r>
              <w:rPr>
                <w:rFonts w:ascii="Times New Roman" w:hAnsi="Times New Roman" w:cs="Times New Roman" w:eastAsia="Times New Roman"/>
                <w:b w:val="false"/>
                <w:sz w:val="26"/>
              </w:rPr>
              <w:t>30-12-2023</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14. Yêu cầu đối với thiết bị y tế phải thử nghiệm lâm sàng
1. Đáp ứng các yêu cầu về pháp lý và kỹ thuật của hồ sơ đăng ký lưu hành thiết bị y tế theo quy định.
2. Nhãn thiết bị y tế dùng cho thử nghiệm lâm sàng phải ghi dòng chữ “Thiết bị y tế dùng cho thử nghiệm lâm sàng. Cấm dùng cho mục đích khác”. Việc ghi nhãn thực hiện theo quy định của pháp luật về ghi nhãn hàng hóa.".
12. Sửa đổi Điều 15 Nghị định số 98/2021/NĐ-CP ngày 08 tháng 11 năm 2021 của Chính phủ về quản lý trang thiết bị y tế như sau:
"Điều 15. Yêu cầu đối với cơ sở nhận thử nghiệm lâm sàng thiết bị y tế 
1. Đáp ứng yêu cầu về thực hành tốt thử thiết bị y tế trên lâm sàng theo quy định của Bộ trưởng Bộ Y tế.
2. Cơ sở nhận thử nghiệm lâm sàng thiết bị y tế là cơ sở có chức năng nghiên cứu khoa học và có phạm vi hoạt động chuyên môn phù hợp với thiết bị y tế được thử nghiệm lâm sàng.
3. Cơ sở nhận thử nghiệm lâm sàng thiết bị y tế phải là pháp nhân độc lập về tổ chức, nhân sự, tài chính với tổ chức, cá nhân có thiết bị y tế thử nghiệm lâm sàng
Khoàn 2 Điều 16 Yêu cầu đối với hồ sơ: 
a) Hồ sơ thử nghiệm lâm sàng thiết bị y tế phải được viết bằng tiếng Việt. Trường hợp không thể hiện bằng tiếng Việt thì phải có thêm bản dịch có chứng thực của tài liệu đó ra tiếng Việt.
b) Đối với các giấy tờ do cơ quan quản lý nước ngoài cấp phải được hợp pháp hóa lãnh sự theo quy định của pháp luật về hợp pháp hóa lãnh sự, trừ trường hợp được miễn theo quy định của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https://thutuc.dichvucong.gov.vn/p/home/dvc-tthc-thu-tuc-hanh-chinh-chi-tiet.html?ma_thu_tuc=333186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2025-12-02T12:17:50Z</dcterms:created>
  <dc:creator>Apache POI</dc:creator>
</cp:coreProperties>
</file>