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settings.xml" ContentType="application/vnd.openxmlformats-officedocument.wordprocessingml.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w:body>
    <w:p>
      <w:pPr>
        <w:spacing w:after="300" w:before="0" w:lineRule="auto" w:line="276"/>
        <w:jc w:val="center"/>
      </w:pPr>
      <w:r>
        <w:rPr>
          <w:rFonts w:ascii="Times New Roman" w:hAnsi="Times New Roman" w:cs="Times New Roman" w:eastAsia="Times New Roman"/>
          <w:b w:val="true"/>
          <w:sz w:val="26"/>
        </w:rPr>
        <w:t>Chi tiết thủ tục hành chính</w:t>
      </w:r>
    </w:p>
    <w:p>
      <w:pPr>
        <w:spacing w:after="0" w:before="0" w:lineRule="auto" w:line="276"/>
        <w:jc w:val="both"/>
      </w:pPr>
      <w:r>
        <w:rPr>
          <w:rFonts w:ascii="Times New Roman" w:hAnsi="Times New Roman" w:cs="Times New Roman" w:eastAsia="Times New Roman"/>
          <w:b w:val="true"/>
          <w:sz w:val="26"/>
        </w:rPr>
        <w:t xml:space="preserve">Mã thủ tục: </w:t>
      </w:r>
      <w:r>
        <w:rPr>
          <w:rFonts w:ascii="Times New Roman" w:hAnsi="Times New Roman" w:cs="Times New Roman" w:eastAsia="Times New Roman"/>
          <w:b w:val="false"/>
          <w:sz w:val="26"/>
        </w:rPr>
        <w:t>1.013033</w:t>
      </w:r>
    </w:p>
    <w:p>
      <w:pPr>
        <w:spacing w:after="0" w:before="0" w:lineRule="auto" w:line="276"/>
        <w:jc w:val="both"/>
      </w:pPr>
      <w:r>
        <w:rPr>
          <w:rFonts w:ascii="Times New Roman" w:hAnsi="Times New Roman" w:cs="Times New Roman" w:eastAsia="Times New Roman"/>
          <w:b w:val="true"/>
          <w:sz w:val="26"/>
        </w:rPr>
        <w:t xml:space="preserve">Số quyết định: </w:t>
      </w:r>
      <w:r>
        <w:rPr>
          <w:rFonts w:ascii="Times New Roman" w:hAnsi="Times New Roman" w:cs="Times New Roman" w:eastAsia="Times New Roman"/>
          <w:b w:val="false"/>
          <w:sz w:val="26"/>
        </w:rPr>
        <w:t>1201/QĐ-BYT</w:t>
      </w:r>
    </w:p>
    <w:p>
      <w:pPr>
        <w:spacing w:after="0" w:before="0" w:lineRule="auto" w:line="276"/>
        <w:jc w:val="both"/>
      </w:pPr>
      <w:r>
        <w:rPr>
          <w:rFonts w:ascii="Times New Roman" w:hAnsi="Times New Roman" w:cs="Times New Roman" w:eastAsia="Times New Roman"/>
          <w:b w:val="true"/>
          <w:sz w:val="26"/>
        </w:rPr>
        <w:t xml:space="preserve">Tên thủ tục: </w:t>
      </w:r>
      <w:r>
        <w:rPr>
          <w:rFonts w:ascii="Times New Roman" w:hAnsi="Times New Roman" w:cs="Times New Roman" w:eastAsia="Times New Roman"/>
          <w:b w:val="false"/>
          <w:sz w:val="26"/>
        </w:rPr>
        <w:t>Điều chỉnh quyết định chỉ định cơ sở xét nghiệm khẳng định HIV dương tính tham chiếu</w:t>
      </w:r>
    </w:p>
    <w:p>
      <w:pPr>
        <w:spacing w:after="0" w:before="0" w:lineRule="auto" w:line="276"/>
        <w:jc w:val="both"/>
      </w:pPr>
      <w:r>
        <w:rPr>
          <w:rFonts w:ascii="Times New Roman" w:hAnsi="Times New Roman" w:cs="Times New Roman" w:eastAsia="Times New Roman"/>
          <w:b w:val="true"/>
          <w:sz w:val="26"/>
        </w:rPr>
        <w:t xml:space="preserve">Cấp thực hiện: </w:t>
      </w:r>
      <w:r>
        <w:rPr>
          <w:rFonts w:ascii="Times New Roman" w:hAnsi="Times New Roman" w:cs="Times New Roman" w:eastAsia="Times New Roman"/>
          <w:b w:val="false"/>
          <w:sz w:val="26"/>
        </w:rPr>
        <w:t>Cấp Bộ</w:t>
      </w:r>
    </w:p>
    <w:p>
      <w:pPr>
        <w:spacing w:after="0" w:before="0" w:lineRule="auto" w:line="276"/>
        <w:jc w:val="both"/>
      </w:pPr>
      <w:r>
        <w:rPr>
          <w:rFonts w:ascii="Times New Roman" w:hAnsi="Times New Roman" w:cs="Times New Roman" w:eastAsia="Times New Roman"/>
          <w:b w:val="true"/>
          <w:sz w:val="26"/>
        </w:rPr>
        <w:t xml:space="preserve">Loại thủ tục: </w:t>
      </w:r>
      <w:r>
        <w:rPr>
          <w:rFonts w:ascii="Times New Roman" w:hAnsi="Times New Roman" w:cs="Times New Roman" w:eastAsia="Times New Roman"/>
          <w:b w:val="false"/>
          <w:sz w:val="26"/>
        </w:rPr>
        <w:t>TTHC được luật giao quy định chi tiết</w:t>
      </w:r>
    </w:p>
    <w:p>
      <w:pPr>
        <w:spacing w:after="0" w:before="0" w:lineRule="auto" w:line="276"/>
        <w:jc w:val="both"/>
      </w:pPr>
      <w:r>
        <w:rPr>
          <w:rFonts w:ascii="Times New Roman" w:hAnsi="Times New Roman" w:cs="Times New Roman" w:eastAsia="Times New Roman"/>
          <w:b w:val="true"/>
          <w:sz w:val="26"/>
        </w:rPr>
        <w:t xml:space="preserve">Lĩnh vực: </w:t>
      </w:r>
      <w:r>
        <w:rPr>
          <w:rFonts w:ascii="Times New Roman" w:hAnsi="Times New Roman" w:cs="Times New Roman" w:eastAsia="Times New Roman"/>
          <w:b w:val="false"/>
          <w:sz w:val="26"/>
        </w:rPr>
        <w:t>Phòng bệnh</w:t>
      </w:r>
    </w:p>
    <w:p>
      <w:pPr>
        <w:spacing w:after="0" w:before="0" w:lineRule="auto" w:line="276"/>
        <w:jc w:val="both"/>
      </w:pPr>
      <w:r>
        <w:rPr>
          <w:rFonts w:ascii="Times New Roman" w:hAnsi="Times New Roman" w:cs="Times New Roman" w:eastAsia="Times New Roman"/>
          <w:b w:val="true"/>
          <w:sz w:val="26"/>
        </w:rPr>
        <w:t xml:space="preserve">Trình tự thực hiện: </w:t>
      </w:r>
    </w:p>
    <w:p>
      <w:pPr>
        <w:shd w:val="clear" w:color="auto" w:fill="F2F6F9"/>
        <w:spacing w:after="0" w:before="120" w:lineRule="auto" w:line="276"/>
        <w:jc w:val="both"/>
      </w:pPr>
      <w:r>
        <w:rPr>
          <w:rFonts w:ascii="Times New Roman" w:hAnsi="Times New Roman" w:cs="Times New Roman" w:eastAsia="Times New Roman"/>
          <w:b w:val="true"/>
          <w:sz w:val="26"/>
        </w:rPr>
        <w:t/>
      </w:r>
    </w:p>
    <w:p>
      <w:pPr>
        <w:spacing w:after="0" w:before="0" w:lineRule="auto" w:line="276"/>
        <w:jc w:val="both"/>
      </w:pPr>
      <w:r>
        <w:rPr>
          <w:rFonts w:ascii="Times New Roman" w:hAnsi="Times New Roman" w:cs="Times New Roman" w:eastAsia="Times New Roman"/>
          <w:b w:val="false"/>
          <w:sz w:val="26"/>
        </w:rPr>
        <w:t>Bước 1. Cơ sở xét nghiệm gửi hồ sơ đề nghị điều chỉnh quyết định chỉ định cơ sở xét nghiệm khẳng định HIV dương tính tham chiếu đến cơ quan có thẩm quyền. 
Bước 2. Cơ quan có thẩm quyền kiểm tra tính hợp lệ của hồ sơ.
Trường hợp hồ sơ hợp lệ, trong thời gian 05 ngày làm việc, kể từ ngày tiếp nhận hồ sơ, cơ quan có thẩm quyền điều chỉnh quyết định chỉ định cơ sở xét nghiệm khẳng định HIV dương tính tham chiếu theo Mẫu số 24 quy định tại Phụ lục ban hành kèm theo Nghị định số 141/2024/NĐ-CP.
Trường hợp hồ sơ chưa hợp lệ, trong thời gian 05 ngày làm việc, kể từ ngày tiếp nhận hồ sơ, cơ quan có thẩm quyền phải có văn bản thông báo nêu rõ lý do và hướng dẫn cho cơ sở xét nghiệm hoàn thiện hồ sơ. Cơ sở xét nghiệm có trách nhiệm hoàn thiện hồ sơ trong thời hạn tối đa 05 ngày làm việc kể từ ngày nhận được thông báo. Trong thời gian 05 ngày làm việc kể từ ngày nhận được hồ sơ hoàn thiện, cơ quan có thẩm quyền điều chỉnh quyết định chỉ định cơ sở xét nghiệm khẳng định HIV dương tính tham chiếu theo Mẫu số 24 quy định tại Phụ lục ban hành kèm theo Nghị định số 141/2024/NĐ-CP. Quá thời hạn hoàn thiện hồ sơ, thủ tục đề nghị điều chỉnh quyết định chỉ định cơ sở xét nghiệm khẳng định HIV dương tính tham chiếu phải thực hiện lại từ đầu.</w:t>
      </w:r>
    </w:p>
    <w:p>
      <w:pPr>
        <w:spacing w:after="0" w:before="240" w:lineRule="auto" w:line="276"/>
        <w:jc w:val="both"/>
      </w:pPr>
      <w:r>
        <w:rPr>
          <w:rFonts w:ascii="Times New Roman" w:hAnsi="Times New Roman" w:cs="Times New Roman" w:eastAsia="Times New Roman"/>
          <w:b w:val="true"/>
          <w:sz w:val="26"/>
        </w:rPr>
        <w:t xml:space="preserve">Cách thức thực hiện: </w:t>
      </w:r>
    </w:p>
    <w:tbl>
      <w:tblPr>
        <w:tblW w:w="0" w:type="auto"/>
        <w:tblBorders>
          <w:top w:val="single"/>
          <w:left w:val="single"/>
          <w:bottom w:val="single"/>
          <w:right w:val="single"/>
          <w:insideH w:val="single"/>
          <w:insideV w:val="single"/>
        </w:tblBorders>
      </w:tblPr>
      <w:tr>
        <w:tc>
          <w:tcPr>
            <w:tcW w:w="1500"/>
          </w:tcPr>
          <w:p/>
          <w:p>
            <w:pPr>
              <w:spacing w:after="0" w:before="0" w:lineRule="auto" w:line="276"/>
              <w:jc w:val="center"/>
            </w:pPr>
            <w:r>
              <w:rPr>
                <w:rFonts w:ascii="Times New Roman" w:hAnsi="Times New Roman" w:cs="Times New Roman" w:eastAsia="Times New Roman"/>
                <w:b w:val="true"/>
                <w:sz w:val="26"/>
              </w:rPr>
              <w:t>Hình thức nộp</w:t>
            </w:r>
          </w:p>
        </w:tc>
        <w:tc>
          <w:tcPr>
            <w:tcW w:w="2000"/>
          </w:tcPr>
          <w:p/>
          <w:p>
            <w:pPr>
              <w:spacing w:after="0" w:before="0" w:lineRule="auto" w:line="276"/>
              <w:jc w:val="center"/>
            </w:pPr>
            <w:r>
              <w:rPr>
                <w:rFonts w:ascii="Times New Roman" w:hAnsi="Times New Roman" w:cs="Times New Roman" w:eastAsia="Times New Roman"/>
                <w:b w:val="true"/>
                <w:sz w:val="26"/>
              </w:rPr>
              <w:t>Thời hạn giải quyết</w:t>
            </w:r>
          </w:p>
        </w:tc>
        <w:tc>
          <w:tcPr>
            <w:tcW w:w="3500"/>
          </w:tcPr>
          <w:p/>
          <w:p>
            <w:pPr>
              <w:spacing w:after="0" w:before="0" w:lineRule="auto" w:line="276"/>
              <w:jc w:val="center"/>
            </w:pPr>
            <w:r>
              <w:rPr>
                <w:rFonts w:ascii="Times New Roman" w:hAnsi="Times New Roman" w:cs="Times New Roman" w:eastAsia="Times New Roman"/>
                <w:b w:val="true"/>
                <w:sz w:val="26"/>
              </w:rPr>
              <w:t>Phí, lệ phí</w:t>
            </w:r>
          </w:p>
        </w:tc>
        <w:tc>
          <w:tcPr>
            <w:tcW w:w="3000"/>
          </w:tcPr>
          <w:p/>
          <w:p>
            <w:pPr>
              <w:spacing w:after="0" w:before="0" w:lineRule="auto" w:line="276"/>
              <w:jc w:val="center"/>
            </w:pPr>
            <w:r>
              <w:rPr>
                <w:rFonts w:ascii="Times New Roman" w:hAnsi="Times New Roman" w:cs="Times New Roman" w:eastAsia="Times New Roman"/>
                <w:b w:val="true"/>
                <w:sz w:val="26"/>
              </w:rPr>
              <w:t>Mô tả</w:t>
            </w:r>
          </w:p>
        </w:tc>
      </w:tr>
      <w:tr>
        <w:tc>
          <w:p/>
          <w:p>
            <w:pPr>
              <w:spacing w:after="0" w:before="0" w:lineRule="auto" w:line="276"/>
              <w:jc w:val="left"/>
            </w:pPr>
            <w:r>
              <w:rPr>
                <w:rFonts w:ascii="Times New Roman" w:hAnsi="Times New Roman" w:cs="Times New Roman" w:eastAsia="Times New Roman"/>
                <w:b w:val="false"/>
                <w:sz w:val="26"/>
              </w:rPr>
              <w:t>Trực tiếp</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gian 05 ngày làm việc kể từ ngày tiếp nhận đủ hồ sơ hợp lệ</w:t>
            </w:r>
          </w:p>
        </w:tc>
      </w:tr>
      <w:tr>
        <w:tc>
          <w:p/>
          <w:p>
            <w:pPr>
              <w:spacing w:after="0" w:before="0" w:lineRule="auto" w:line="276"/>
              <w:jc w:val="left"/>
            </w:pPr>
            <w:r>
              <w:rPr>
                <w:rFonts w:ascii="Times New Roman" w:hAnsi="Times New Roman" w:cs="Times New Roman" w:eastAsia="Times New Roman"/>
                <w:b w:val="false"/>
                <w:sz w:val="26"/>
              </w:rPr>
              <w:t>Trực tuyến</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gian 05 ngày làm việc kể từ ngày tiếp nhận đủ hồ sơ hợp lệ</w:t>
            </w:r>
          </w:p>
        </w:tc>
      </w:tr>
      <w:tr>
        <w:tc>
          <w:p/>
          <w:p>
            <w:pPr>
              <w:spacing w:after="0" w:before="0" w:lineRule="auto" w:line="276"/>
              <w:jc w:val="left"/>
            </w:pPr>
            <w:r>
              <w:rPr>
                <w:rFonts w:ascii="Times New Roman" w:hAnsi="Times New Roman" w:cs="Times New Roman" w:eastAsia="Times New Roman"/>
                <w:b w:val="false"/>
                <w:sz w:val="26"/>
              </w:rPr>
              <w:t>Dịch vụ bưu chính</w:t>
            </w:r>
          </w:p>
        </w:tc>
        <w:tc>
          <w:p/>
          <w:p>
            <w:pPr>
              <w:spacing w:after="0" w:before="0" w:lineRule="auto" w:line="276"/>
              <w:jc w:val="left"/>
            </w:pPr>
            <w:r>
              <w:rPr>
                <w:rFonts w:ascii="Times New Roman" w:hAnsi="Times New Roman" w:cs="Times New Roman" w:eastAsia="Times New Roman"/>
                <w:b w:val="false"/>
                <w:sz w:val="26"/>
              </w:rPr>
              <w:t>5 Ngày làm việc</w:t>
            </w:r>
          </w:p>
        </w:tc>
        <w:tc>
          <w:p/>
          <w:p>
            <w:pPr>
              <w:spacing w:after="0" w:before="0" w:lineRule="auto" w:line="276"/>
              <w:jc w:val="left"/>
            </w:pPr>
            <w:r>
              <w:rPr>
                <w:rFonts w:ascii="Times New Roman" w:hAnsi="Times New Roman" w:cs="Times New Roman" w:eastAsia="Times New Roman"/>
                <w:b w:val="false"/>
                <w:sz w:val="26"/>
              </w:rPr>
            </w:r>
          </w:p>
        </w:tc>
        <w:tc>
          <w:p/>
          <w:p>
            <w:pPr>
              <w:spacing w:after="0" w:before="0" w:lineRule="auto" w:line="276"/>
              <w:jc w:val="left"/>
            </w:pPr>
            <w:r>
              <w:rPr>
                <w:rFonts w:ascii="Times New Roman" w:hAnsi="Times New Roman" w:cs="Times New Roman" w:eastAsia="Times New Roman"/>
                <w:b w:val="false"/>
                <w:sz w:val="26"/>
              </w:rPr>
              <w:t>Trong thời gian 05 ngày làm việc kể từ ngày tiếp nhận đủ hồ sơ hợp lệ</w:t>
            </w:r>
          </w:p>
        </w:tc>
      </w:tr>
    </w:tbl>
    <w:p>
      <w:pPr>
        <w:spacing w:after="0" w:before="240" w:lineRule="auto" w:line="276"/>
        <w:jc w:val="both"/>
      </w:pPr>
      <w:r>
        <w:rPr>
          <w:rFonts w:ascii="Times New Roman" w:hAnsi="Times New Roman" w:cs="Times New Roman" w:eastAsia="Times New Roman"/>
          <w:b w:val="true"/>
          <w:sz w:val="26"/>
        </w:rPr>
        <w:t xml:space="preserve">Thành phần hồ sơ: </w:t>
      </w:r>
    </w:p>
    <w:p>
      <w:pPr>
        <w:shd w:val="clear" w:color="auto" w:fill="F2F6F9"/>
        <w:spacing w:after="0" w:before="120" w:lineRule="auto" w:line="276"/>
        <w:jc w:val="both"/>
      </w:pPr>
      <w:r>
        <w:rPr>
          <w:rFonts w:ascii="Times New Roman" w:hAnsi="Times New Roman" w:cs="Times New Roman" w:eastAsia="Times New Roman"/>
          <w:b w:val="true"/>
          <w:sz w:val="26"/>
        </w:rPr>
        <w:t>Bao gồm</w:t>
      </w:r>
    </w:p>
    <w:tbl>
      <w:tblPr>
        <w:tblW w:w="0" w:type="auto"/>
        <w:tblBorders>
          <w:top w:val="single"/>
          <w:left w:val="single"/>
          <w:bottom w:val="single"/>
          <w:right w:val="single"/>
          <w:insideH w:val="single"/>
          <w:insideV w:val="single"/>
        </w:tblBorders>
      </w:tblPr>
      <w:tr>
        <w:tc>
          <w:tcPr>
            <w:tcW w:w="6000"/>
          </w:tcPr>
          <w:p/>
          <w:p>
            <w:pPr>
              <w:spacing w:after="0" w:before="0" w:lineRule="auto" w:line="276"/>
              <w:jc w:val="center"/>
            </w:pPr>
            <w:r>
              <w:rPr>
                <w:rFonts w:ascii="Times New Roman" w:hAnsi="Times New Roman" w:cs="Times New Roman" w:eastAsia="Times New Roman"/>
                <w:b w:val="true"/>
                <w:sz w:val="26"/>
              </w:rPr>
              <w:t>Tên giấy tờ</w:t>
            </w:r>
          </w:p>
        </w:tc>
        <w:tc>
          <w:tcPr>
            <w:tcW w:w="2000"/>
          </w:tcPr>
          <w:p/>
          <w:p>
            <w:pPr>
              <w:spacing w:after="0" w:before="0" w:lineRule="auto" w:line="276"/>
              <w:jc w:val="center"/>
            </w:pPr>
            <w:r>
              <w:rPr>
                <w:rFonts w:ascii="Times New Roman" w:hAnsi="Times New Roman" w:cs="Times New Roman" w:eastAsia="Times New Roman"/>
                <w:b w:val="true"/>
                <w:sz w:val="26"/>
              </w:rPr>
              <w:t>Mẫu đơn, tờ khai</w:t>
            </w:r>
          </w:p>
        </w:tc>
        <w:tc>
          <w:tcPr>
            <w:tcW w:w="2000"/>
          </w:tcPr>
          <w:p/>
          <w:p>
            <w:pPr>
              <w:spacing w:after="0" w:before="0" w:lineRule="auto" w:line="276"/>
              <w:jc w:val="center"/>
            </w:pPr>
            <w:r>
              <w:rPr>
                <w:rFonts w:ascii="Times New Roman" w:hAnsi="Times New Roman" w:cs="Times New Roman" w:eastAsia="Times New Roman"/>
                <w:b w:val="true"/>
                <w:sz w:val="26"/>
              </w:rPr>
              <w:t>Số lượng</w:t>
            </w:r>
          </w:p>
        </w:tc>
      </w:tr>
      <w:tr>
        <w:tc>
          <w:p/>
          <w:p>
            <w:pPr>
              <w:spacing w:after="0" w:before="0" w:lineRule="auto" w:line="276"/>
              <w:jc w:val="left"/>
            </w:pPr>
            <w:r>
              <w:rPr>
                <w:rFonts w:ascii="Times New Roman" w:hAnsi="Times New Roman" w:cs="Times New Roman" w:eastAsia="Times New Roman"/>
                <w:b w:val="false"/>
                <w:sz w:val="26"/>
              </w:rPr>
              <w:t>Đơn đề nghị điều chỉnh quyết định chỉ định cơ sở xét nghiệm khẳng định HIV dương tính tham chiếu theo Mẫu số 20 quy định tại Phụ lục ban hành kèm theo Nghị định số 141/2024/NĐ-CP</w:t>
            </w:r>
          </w:p>
        </w:tc>
        <w:tc>
          <w:p/>
          <w:p>
            <w:pPr>
              <w:spacing w:after="0" w:before="0" w:lineRule="auto" w:line="276"/>
              <w:jc w:val="left"/>
            </w:pPr>
            <w:r>
              <w:rPr>
                <w:rFonts w:ascii="Times New Roman" w:hAnsi="Times New Roman" w:cs="Times New Roman" w:eastAsia="Times New Roman"/>
                <w:b w:val="false"/>
                <w:sz w:val="26"/>
              </w:rPr>
              <w:t>Mau20.docx</w:t>
            </w:r>
          </w:p>
        </w:tc>
        <w:tc>
          <w:p/>
          <w:p>
            <w:pPr>
              <w:spacing w:after="0" w:before="0" w:lineRule="auto" w:line="276"/>
              <w:jc w:val="left"/>
            </w:pPr>
            <w:r>
              <w:rPr>
                <w:rFonts w:ascii="Times New Roman" w:hAnsi="Times New Roman" w:cs="Times New Roman" w:eastAsia="Times New Roman"/>
                <w:b w:val="false"/>
                <w:sz w:val="26"/>
              </w:rPr>
              <w:t xml:space="preserve">Bản chính: </w:t>
              <w:t>1</w:t>
              <w:br/>
              <w:t xml:space="preserve">Bản sao: </w:t>
              <w:t>0</w:t>
            </w:r>
          </w:p>
        </w:tc>
      </w:tr>
      <w:tr>
        <w:tc>
          <w:p/>
          <w:p>
            <w:pPr>
              <w:spacing w:after="0" w:before="0" w:lineRule="auto" w:line="276"/>
              <w:jc w:val="left"/>
            </w:pPr>
            <w:r>
              <w:rPr>
                <w:rFonts w:ascii="Times New Roman" w:hAnsi="Times New Roman" w:cs="Times New Roman" w:eastAsia="Times New Roman"/>
                <w:b w:val="false"/>
                <w:sz w:val="26"/>
              </w:rPr>
              <w:t>Tài liệu chứng minh sự thay đổi tên cơ sở xét nghiệm hoặc người phụ trách chuyên môn hoặc kỹ thuật xét nghiệm hoặc địa điểm của cơ sở xét nghiệm phải đáp ứng các điều kiện quy định tại Điều 41 Nghị định số 141/2024/NĐ-CP</w:t>
            </w:r>
          </w:p>
        </w:tc>
        <w:tc>
          <w:p/>
          <w:p>
            <w:pPr>
              <w:spacing w:after="0" w:before="0" w:lineRule="auto" w:line="276"/>
              <w:jc w:val="left"/>
            </w:pPr>
            <w:r>
              <w:rPr>
                <w:rFonts w:ascii="Times New Roman" w:hAnsi="Times New Roman" w:cs="Times New Roman" w:eastAsia="Times New Roman"/>
                <w:b w:val="false"/>
                <w:sz w:val="26"/>
              </w:rPr>
              <w:t>Mau2122.docx</w:t>
            </w:r>
          </w:p>
        </w:tc>
        <w:tc>
          <w:p/>
          <w:p>
            <w:pPr>
              <w:spacing w:after="0" w:before="0" w:lineRule="auto" w:line="276"/>
              <w:jc w:val="left"/>
            </w:pPr>
            <w:r>
              <w:rPr>
                <w:rFonts w:ascii="Times New Roman" w:hAnsi="Times New Roman" w:cs="Times New Roman" w:eastAsia="Times New Roman"/>
                <w:b w:val="false"/>
                <w:sz w:val="26"/>
              </w:rPr>
              <w:t xml:space="preserve">Bản chính: </w:t>
              <w:t>0</w:t>
              <w:br/>
              <w:t xml:space="preserve">Bản sao: </w:t>
              <w:t>1</w:t>
            </w:r>
          </w:p>
        </w:tc>
      </w:tr>
    </w:tbl>
    <w:p>
      <w:pPr>
        <w:spacing w:after="0" w:before="240" w:lineRule="auto" w:line="276"/>
        <w:jc w:val="both"/>
      </w:pPr>
      <w:r>
        <w:rPr>
          <w:rFonts w:ascii="Times New Roman" w:hAnsi="Times New Roman" w:cs="Times New Roman" w:eastAsia="Times New Roman"/>
          <w:b w:val="true"/>
          <w:sz w:val="26"/>
        </w:rPr>
        <w:t xml:space="preserve">Đối tượng thực hiện: </w:t>
      </w:r>
      <w:r>
        <w:rPr>
          <w:rFonts w:ascii="Times New Roman" w:hAnsi="Times New Roman" w:cs="Times New Roman" w:eastAsia="Times New Roman"/>
          <w:b w:val="false"/>
          <w:sz w:val="26"/>
        </w:rPr>
        <w:t>Doanh nghiệp, Doanh nghiệp có vốn đầu tư nước ngoài, Tổ chức (không bao gồm doanh nghiệp, HTX), Tổ chức nước ngoài, Hợp tác xã</w:t>
      </w:r>
    </w:p>
    <w:p>
      <w:pPr>
        <w:spacing w:after="0" w:before="0" w:lineRule="auto" w:line="276"/>
        <w:jc w:val="both"/>
      </w:pPr>
      <w:r>
        <w:rPr>
          <w:rFonts w:ascii="Times New Roman" w:hAnsi="Times New Roman" w:cs="Times New Roman" w:eastAsia="Times New Roman"/>
          <w:b w:val="true"/>
          <w:sz w:val="26"/>
        </w:rPr>
        <w:t xml:space="preserve">Cơ quan thực hiện: </w:t>
      </w:r>
      <w:r>
        <w:rPr>
          <w:rFonts w:ascii="Times New Roman" w:hAnsi="Times New Roman" w:cs="Times New Roman" w:eastAsia="Times New Roman"/>
          <w:b w:val="false"/>
          <w:sz w:val="26"/>
        </w:rPr>
        <w:t>Cục Phòng bệnh - Bộ Y tế</w:t>
      </w:r>
    </w:p>
    <w:p>
      <w:pPr>
        <w:spacing w:after="0" w:before="0" w:lineRule="auto" w:line="276"/>
        <w:jc w:val="both"/>
      </w:pPr>
      <w:r>
        <w:rPr>
          <w:rFonts w:ascii="Times New Roman" w:hAnsi="Times New Roman" w:cs="Times New Roman" w:eastAsia="Times New Roman"/>
          <w:b w:val="true"/>
          <w:sz w:val="26"/>
        </w:rPr>
        <w:t xml:space="preserve">Cơ quan có thẩm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Địa chỉ tiếp nhận HS: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được ủy quyền: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Cơ quan phối hợp: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Kết quả thực hiện: </w:t>
      </w:r>
      <w:r>
        <w:rPr>
          <w:rFonts w:ascii="Times New Roman" w:hAnsi="Times New Roman" w:cs="Times New Roman" w:eastAsia="Times New Roman"/>
          <w:b w:val="false"/>
          <w:sz w:val="26"/>
        </w:rPr>
        <w:t>Quyết định chỉ định cơ sở xét nghiệm khẳng định HIV dương tính tham chiếu</w:t>
      </w:r>
    </w:p>
    <w:p>
      <w:pPr>
        <w:spacing w:after="0" w:before="0" w:lineRule="auto" w:line="276"/>
        <w:jc w:val="both"/>
      </w:pPr>
      <w:r>
        <w:rPr>
          <w:rFonts w:ascii="Times New Roman" w:hAnsi="Times New Roman" w:cs="Times New Roman" w:eastAsia="Times New Roman"/>
          <w:b w:val="true"/>
          <w:sz w:val="26"/>
        </w:rPr>
        <w:t xml:space="preserve">Căn cứ pháp lý: </w:t>
      </w:r>
    </w:p>
    <w:tbl>
      <w:tblPr>
        <w:tblW w:w="0" w:type="auto"/>
        <w:tblBorders>
          <w:top w:val="single"/>
          <w:left w:val="single"/>
          <w:bottom w:val="single"/>
          <w:right w:val="single"/>
          <w:insideH w:val="single"/>
          <w:insideV w:val="single"/>
        </w:tblBorders>
      </w:tblPr>
      <w:tr>
        <w:tc>
          <w:tcPr>
            <w:tcW w:w="2000"/>
          </w:tcPr>
          <w:p/>
          <w:p>
            <w:pPr>
              <w:spacing w:after="0" w:before="0" w:lineRule="auto" w:line="276"/>
              <w:jc w:val="center"/>
            </w:pPr>
            <w:r>
              <w:rPr>
                <w:rFonts w:ascii="Times New Roman" w:hAnsi="Times New Roman" w:cs="Times New Roman" w:eastAsia="Times New Roman"/>
                <w:b w:val="true"/>
                <w:sz w:val="26"/>
              </w:rPr>
              <w:t>Số ký hiệu</w:t>
            </w:r>
          </w:p>
        </w:tc>
        <w:tc>
          <w:tcPr>
            <w:tcW w:w="3500"/>
          </w:tcPr>
          <w:p/>
          <w:p>
            <w:pPr>
              <w:spacing w:after="0" w:before="0" w:lineRule="auto" w:line="276"/>
              <w:jc w:val="center"/>
            </w:pPr>
            <w:r>
              <w:rPr>
                <w:rFonts w:ascii="Times New Roman" w:hAnsi="Times New Roman" w:cs="Times New Roman" w:eastAsia="Times New Roman"/>
                <w:b w:val="true"/>
                <w:sz w:val="26"/>
              </w:rPr>
              <w:t>Trích yếu</w:t>
            </w:r>
          </w:p>
        </w:tc>
        <w:tc>
          <w:tcPr>
            <w:tcW w:w="1500"/>
          </w:tcPr>
          <w:p/>
          <w:p>
            <w:pPr>
              <w:spacing w:after="0" w:before="0" w:lineRule="auto" w:line="276"/>
              <w:jc w:val="center"/>
            </w:pPr>
            <w:r>
              <w:rPr>
                <w:rFonts w:ascii="Times New Roman" w:hAnsi="Times New Roman" w:cs="Times New Roman" w:eastAsia="Times New Roman"/>
                <w:b w:val="true"/>
                <w:sz w:val="26"/>
              </w:rPr>
              <w:t>Ngày ban hành</w:t>
            </w:r>
          </w:p>
        </w:tc>
        <w:tc>
          <w:tcPr>
            <w:tcW w:w="3000"/>
          </w:tcPr>
          <w:p/>
          <w:p>
            <w:pPr>
              <w:spacing w:after="0" w:before="0" w:lineRule="auto" w:line="276"/>
              <w:jc w:val="center"/>
            </w:pPr>
            <w:r>
              <w:rPr>
                <w:rFonts w:ascii="Times New Roman" w:hAnsi="Times New Roman" w:cs="Times New Roman" w:eastAsia="Times New Roman"/>
                <w:b w:val="true"/>
                <w:sz w:val="26"/>
              </w:rPr>
              <w:t>Cơ quan ban hành</w:t>
            </w:r>
          </w:p>
        </w:tc>
      </w:tr>
      <w:tr>
        <w:tc>
          <w:p/>
          <w:p>
            <w:pPr>
              <w:spacing w:after="0" w:before="0" w:lineRule="auto" w:line="276"/>
              <w:jc w:val="left"/>
            </w:pPr>
            <w:r>
              <w:rPr>
                <w:rFonts w:ascii="Times New Roman" w:hAnsi="Times New Roman" w:cs="Times New Roman" w:eastAsia="Times New Roman"/>
                <w:b w:val="false"/>
                <w:sz w:val="26"/>
              </w:rPr>
              <w:t>71/2020/QH14</w:t>
            </w:r>
          </w:p>
        </w:tc>
        <w:tc>
          <w:p/>
          <w:p>
            <w:pPr>
              <w:spacing w:after="0" w:before="0" w:lineRule="auto" w:line="276"/>
              <w:jc w:val="left"/>
            </w:pPr>
            <w:r>
              <w:rPr>
                <w:rFonts w:ascii="Times New Roman" w:hAnsi="Times New Roman" w:cs="Times New Roman" w:eastAsia="Times New Roman"/>
                <w:b w:val="false"/>
                <w:sz w:val="26"/>
              </w:rPr>
              <w:t>Luật sửa đổi, bổ sung một số điều của Luật Phòng; chống nhiễm vi rút gây ra hội chứng suy giảm miễn dịch mắc phải ở người (HIV/AIDS) ngày 16/11/2020</w:t>
            </w:r>
          </w:p>
        </w:tc>
        <w:tc>
          <w:p/>
          <w:p>
            <w:pPr>
              <w:spacing w:after="0" w:before="0" w:lineRule="auto" w:line="276"/>
              <w:jc w:val="left"/>
            </w:pPr>
            <w:r>
              <w:rPr>
                <w:rFonts w:ascii="Times New Roman" w:hAnsi="Times New Roman" w:cs="Times New Roman" w:eastAsia="Times New Roman"/>
                <w:b w:val="false"/>
                <w:sz w:val="26"/>
              </w:rPr>
              <w:t>16-11-2020</w:t>
            </w:r>
          </w:p>
        </w:tc>
        <w:tc>
          <w:p/>
          <w:p>
            <w:pPr>
              <w:spacing w:after="0" w:before="0" w:lineRule="auto" w:line="276"/>
              <w:jc w:val="left"/>
            </w:pPr>
            <w:r>
              <w:rPr>
                <w:rFonts w:ascii="Times New Roman" w:hAnsi="Times New Roman" w:cs="Times New Roman" w:eastAsia="Times New Roman"/>
                <w:b w:val="false"/>
                <w:sz w:val="26"/>
              </w:rPr>
              <w:t>Ủy ban thường vụ quốc hội</w:t>
            </w:r>
          </w:p>
        </w:tc>
      </w:tr>
      <w:tr>
        <w:tc>
          <w:p/>
          <w:p>
            <w:pPr>
              <w:spacing w:after="0" w:before="0" w:lineRule="auto" w:line="276"/>
              <w:jc w:val="left"/>
            </w:pPr>
            <w:r>
              <w:rPr>
                <w:rFonts w:ascii="Times New Roman" w:hAnsi="Times New Roman" w:cs="Times New Roman" w:eastAsia="Times New Roman"/>
                <w:b w:val="false"/>
                <w:sz w:val="26"/>
              </w:rPr>
              <w:t>141/2024/NĐ-CP</w:t>
            </w:r>
          </w:p>
        </w:tc>
        <w:tc>
          <w:p/>
          <w:p>
            <w:pPr>
              <w:spacing w:after="0" w:before="0" w:lineRule="auto" w:line="276"/>
              <w:jc w:val="left"/>
            </w:pPr>
            <w:r>
              <w:rPr>
                <w:rFonts w:ascii="Times New Roman" w:hAnsi="Times New Roman" w:cs="Times New Roman" w:eastAsia="Times New Roman"/>
                <w:b w:val="false"/>
                <w:sz w:val="26"/>
              </w:rPr>
              <w:t>Nghị định quy định chi tiết một số điều của Luật Phòng, chống nhiễm vi rút gây ra hội chứng suy giảm miễn dịch mắc phải ở người (HIV/AIDS).</w:t>
            </w:r>
          </w:p>
        </w:tc>
        <w:tc>
          <w:p/>
          <w:p>
            <w:pPr>
              <w:spacing w:after="0" w:before="0" w:lineRule="auto" w:line="276"/>
              <w:jc w:val="left"/>
            </w:pPr>
            <w:r>
              <w:rPr>
                <w:rFonts w:ascii="Times New Roman" w:hAnsi="Times New Roman" w:cs="Times New Roman" w:eastAsia="Times New Roman"/>
                <w:b w:val="false"/>
                <w:sz w:val="26"/>
              </w:rPr>
              <w:t>28-10-2024</w:t>
            </w:r>
          </w:p>
        </w:tc>
        <w:tc>
          <w:p/>
          <w:p>
            <w:pPr>
              <w:spacing w:after="0" w:before="0" w:lineRule="auto" w:line="276"/>
              <w:jc w:val="left"/>
            </w:pPr>
            <w:r>
              <w:rPr>
                <w:rFonts w:ascii="Times New Roman" w:hAnsi="Times New Roman" w:cs="Times New Roman" w:eastAsia="Times New Roman"/>
                <w:b w:val="false"/>
                <w:sz w:val="26"/>
              </w:rPr>
              <w:t>Chính phủ</w:t>
            </w:r>
          </w:p>
        </w:tc>
      </w:tr>
      <w:tr>
        <w:tc>
          <w:p/>
          <w:p>
            <w:pPr>
              <w:spacing w:after="0" w:before="0" w:lineRule="auto" w:line="276"/>
              <w:jc w:val="left"/>
            </w:pPr>
            <w:r>
              <w:rPr>
                <w:rFonts w:ascii="Times New Roman" w:hAnsi="Times New Roman" w:cs="Times New Roman" w:eastAsia="Times New Roman"/>
                <w:b w:val="false"/>
                <w:sz w:val="26"/>
              </w:rPr>
              <w:t>42/2025/NĐ-CP</w:t>
            </w:r>
          </w:p>
        </w:tc>
        <w:tc>
          <w:p/>
          <w:p>
            <w:pPr>
              <w:spacing w:after="0" w:before="0" w:lineRule="auto" w:line="276"/>
              <w:jc w:val="left"/>
            </w:pPr>
            <w:r>
              <w:rPr>
                <w:rFonts w:ascii="Times New Roman" w:hAnsi="Times New Roman" w:cs="Times New Roman" w:eastAsia="Times New Roman"/>
                <w:b w:val="false"/>
                <w:sz w:val="26"/>
              </w:rPr>
              <w:t>Nghị định số 42/2025/NĐ-CP của Chính phủ: Quy định chức năng, nhiệm vụ, quyền hạn và cơ cấu tổ chức của Bộ Y tế</w:t>
            </w:r>
          </w:p>
        </w:tc>
        <w:tc>
          <w:p/>
          <w:p>
            <w:pPr>
              <w:spacing w:after="0" w:before="0" w:lineRule="auto" w:line="276"/>
              <w:jc w:val="left"/>
            </w:pPr>
            <w:r>
              <w:rPr>
                <w:rFonts w:ascii="Times New Roman" w:hAnsi="Times New Roman" w:cs="Times New Roman" w:eastAsia="Times New Roman"/>
                <w:b w:val="false"/>
                <w:sz w:val="26"/>
              </w:rPr>
              <w:t>27-02-2025</w:t>
            </w:r>
          </w:p>
        </w:tc>
        <w:tc>
          <w:p/>
          <w:p>
            <w:pPr>
              <w:spacing w:after="0" w:before="0" w:lineRule="auto" w:line="276"/>
              <w:jc w:val="left"/>
            </w:pPr>
            <w:r>
              <w:rPr>
                <w:rFonts w:ascii="Times New Roman" w:hAnsi="Times New Roman" w:cs="Times New Roman" w:eastAsia="Times New Roman"/>
                <w:b w:val="false"/>
                <w:sz w:val="26"/>
              </w:rPr>
              <w:t>Chính phủ</w:t>
            </w:r>
          </w:p>
        </w:tc>
      </w:tr>
    </w:tbl>
    <w:p>
      <w:pPr>
        <w:spacing w:after="0" w:before="240" w:lineRule="auto" w:line="276"/>
        <w:jc w:val="both"/>
      </w:pPr>
      <w:r>
        <w:rPr>
          <w:rFonts w:ascii="Times New Roman" w:hAnsi="Times New Roman" w:cs="Times New Roman" w:eastAsia="Times New Roman"/>
          <w:b w:val="true"/>
          <w:sz w:val="26"/>
        </w:rPr>
        <w:t xml:space="preserve">Yêu cầu, điều kiện thực hiện: </w:t>
      </w:r>
      <w:r>
        <w:rPr>
          <w:rFonts w:ascii="Times New Roman" w:hAnsi="Times New Roman" w:cs="Times New Roman" w:eastAsia="Times New Roman"/>
          <w:b w:val="false"/>
          <w:sz w:val="26"/>
        </w:rPr>
        <w:t>. Điều chỉnh quyết định chỉ định cơ sở xét nghiệm khẳng định HIV dương tính tham chiếu trong trường hợp cơ sở xét nghiệm có sự thay đổi tên cơ sở xét nghiệm, hoặc người phụ trách chuyên môn, hoặc kỹ thuật xét nghiệm, hoặc địa điểm của cơ sở xét nghiệm.
    2. Cơ sở đề nghị điều chỉnh quyết định chỉ định cơ sở xét nghiệm khẳng định HIV dương tính tham chiếu ngoài việc đáp ứng các điều kiện quy định tại Điều 40 Nghị định số 141/2024/NĐ-CP cần đáp ứng thêm các điều kiện sau: 
2.1. Nhân sự phải đảm bảo như sau:  
a) Người phụ trách chuyên môn có trình độ sau đại học chuyên ngành y hoặc sinh học và có kinh nghiệm thực hiện xét nghiệm HIV từ 05 năm trở lên;
b) Các nhân viên được giao nhiệm vụ về quản lý chất lượng xét nghiệm, xây dựng bộ mẫu chuẩn, bảo đảm an toàn sinh học phải có trình độ đại học chuyên ngành y hoặc sinh học và có kinh nghiệm thực hiện xét nghiệm HIV từ 03 năm trở lên.
2.2. Cơ sở vật chất phải đáp ứng điều kiện sau: 
Đáp ứng các điều kiện của cơ sở xét nghiệm an toàn sinh học cấp II theo quy định tại Nghị định số 103/2016/NĐ-CP.
2.3. Thiết bị đảm bảo các điều kiện sau: 
a)  Đáp ứng các điều kiện về thiết bị theo quy định của cơ sở xét nghiệm an toàn sinh học cấp II theo quy định tại Nghị định số 103/2016/NĐ-CP; 
b) Có thiết bị y tế thực hiện xét nghiệm HIV bằng các kỹ thuật đơn giản, miễn dịch đánh dấu, sinh học phân tử.
2.4. Điều kiện về quản lý chất lượng và năng lực thực hiện xét nghiệm HIV:
a) Đạt Tiêu chuẩn quốc gia TCVN ISO 15189 hoặc tương đương quy định cho phòng xét nghiệm. Trong trường hợp có sản xuất và cung cấp mẫu ngoại kiểm tra và nội kiểm tra phải đạt thêm Tiêu chuẩn quốc gia TCVN ISO 17043;
b) Có khả năng quản lý điều phối và cung cấp chương trình ngoại kiểm, nội kiểm cho các phòng xét nghiệm HIV khác;
c) Có khả năng hỗ trợ xây dựng các quy trình chuẩn về thao tác kỹ thuật xét nghiệm HIV cho các cơ sở xét nghiệm tham khảo và thực hiện;
d) Có khả năng xây dựng phương cách xét nghiệm HIV và đào tạo về xét nghiệm HIV;
đ) Có ngân hàng mẫu phục vụ cho việc bảo đảm chất lượng xét nghiệm HIV;
e) Có khả năng phối hợp hoặc tổ chức triển khai các nghiên cứu khoa học liên quan đến sinh bệnh học, miễn dịch HIV; nghiên cứu đánh giá các phương cách xét nghiệm HIV, chất lượng sinh phẩm xét nghiệm HIV trên thực địa và các nghiên cứu khác có liên quan;
g) Thực hiện được tất cả các phương pháp xét nghiệm HIV bằng kỹ thuật khác nhau đồng thời phải có khả năng làm xét nghiệm xác nhận tình trạng nhiễm HIV của các trường hợp có kết quả xét nghiệm khó xác định hoặc không đồng nhất kết quả giữa các cơ sở xét nghiệm khác nhau;
h) Được Tổ chức Y tế thế giới hoặc các tổ chức quốc tế uy tín về xét nghiệm đánh giá và công nhận đủ điều kiện là cơ sở xét nghiệm tham chiếu về HIV (nếu có);
i) Tham gia và đạt kết quả chương trình ngoại kiểm hằng năm về xét nghiệm HIV của các cơ quan và tổ chức quốc tế có uy tín.</w:t>
      </w:r>
    </w:p>
    <w:p>
      <w:pPr>
        <w:spacing w:after="0" w:before="0" w:lineRule="auto" w:line="276"/>
        <w:jc w:val="both"/>
      </w:pPr>
      <w:r>
        <w:rPr>
          <w:rFonts w:ascii="Times New Roman" w:hAnsi="Times New Roman" w:cs="Times New Roman" w:eastAsia="Times New Roman"/>
          <w:b w:val="true"/>
          <w:sz w:val="26"/>
        </w:rPr>
        <w:t xml:space="preserve">Từ khóa: </w:t>
      </w:r>
      <w:r>
        <w:rPr>
          <w:rFonts w:ascii="Times New Roman" w:hAnsi="Times New Roman" w:cs="Times New Roman" w:eastAsia="Times New Roman"/>
          <w:b w:val="false"/>
          <w:sz w:val="26"/>
        </w:rPr>
        <w:t>Không có thông tin</w:t>
      </w:r>
    </w:p>
    <w:p>
      <w:pPr>
        <w:spacing w:after="0" w:before="0" w:lineRule="auto" w:line="276"/>
        <w:jc w:val="both"/>
      </w:pPr>
      <w:r>
        <w:rPr>
          <w:rFonts w:ascii="Times New Roman" w:hAnsi="Times New Roman" w:cs="Times New Roman" w:eastAsia="Times New Roman"/>
          <w:b w:val="true"/>
          <w:sz w:val="26"/>
        </w:rPr>
        <w:t xml:space="preserve">Mô tả: </w:t>
      </w:r>
      <w:r>
        <w:rPr>
          <w:rFonts w:ascii="Times New Roman" w:hAnsi="Times New Roman" w:cs="Times New Roman" w:eastAsia="Times New Roman"/>
          <w:b w:val="false"/>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https://thutuc.dichvucong.gov.vn/p/home/dvc-tthc-thu-tuc-hanh-chinh-chi-tiet.html?ma_thu_tuc=362294</w:t>
      </w:r>
    </w:p>
    <w:sectPr>
      <w:pgMar w:left="1702" w:top="1137" w:right="1137" w:bottom="1137"/>
    </w:sectPr>
  </w:body>
</w:document>
</file>

<file path=word/settings.xml><?xml version="1.0" encoding="utf-8"?>
<w:settings xmlns:w="http://schemas.openxmlformats.org/wordprocessingml/2006/main"/>
</file>

<file path=word/_rels/document.xml.rels><?xml version='1.0' encoding='UTF-8' standalone='yes'?>
<Relationships xmlns="http://schemas.openxmlformats.org/package/2006/relationships"><Relationship Id="rId1" Type="http://schemas.openxmlformats.org/officeDocument/2006/relationships/settings" Target="settings.xml"/></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2025-12-02T12:19:12Z</dcterms:created>
  <dc:creator>Apache POI</dc:creator>
</cp:coreProperties>
</file>