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C92" w:rsidRDefault="005E1BE7">
      <w:pPr>
        <w:spacing w:after="300" w:line="276" w:lineRule="auto"/>
        <w:jc w:val="center"/>
      </w:pPr>
      <w:r>
        <w:rPr>
          <w:rFonts w:ascii="Times New Roman" w:eastAsia="Times New Roman" w:hAnsi="Times New Roman" w:cs="Times New Roman"/>
          <w:b/>
          <w:sz w:val="26"/>
        </w:rPr>
        <w:t>Chi tiết thủ tục hành chính</w:t>
      </w:r>
    </w:p>
    <w:p w:rsidR="008F4C92" w:rsidRDefault="005E1B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1.013037</w:t>
      </w:r>
    </w:p>
    <w:p w:rsidR="008F4C92" w:rsidRDefault="005E1B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3555/QĐ-BYT</w:t>
      </w:r>
    </w:p>
    <w:p w:rsidR="008F4C92" w:rsidRDefault="005E1B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Hủy hồ sơ công bố đủ điều kiện điều trị nghiện các chất dạng thuốc phiện bằng thuốc thay thế</w:t>
      </w:r>
    </w:p>
    <w:p w:rsidR="008F4C92" w:rsidRDefault="005E1B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F4C92" w:rsidRDefault="005E1B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F4C92" w:rsidRDefault="005E1B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8F4C92" w:rsidRDefault="005E1BE7">
      <w:pPr>
        <w:spacing w:after="0" w:line="276" w:lineRule="auto"/>
        <w:jc w:val="both"/>
      </w:pPr>
      <w:r>
        <w:rPr>
          <w:rFonts w:ascii="Times New Roman" w:eastAsia="Times New Roman" w:hAnsi="Times New Roman" w:cs="Times New Roman"/>
          <w:b/>
          <w:sz w:val="26"/>
        </w:rPr>
        <w:t xml:space="preserve">Trình tự thực hiện: </w:t>
      </w:r>
    </w:p>
    <w:p w:rsidR="008F4C92" w:rsidRDefault="005E1BE7">
      <w:pPr>
        <w:shd w:val="clear" w:color="auto" w:fill="F2F6F9"/>
        <w:spacing w:before="120" w:after="0" w:line="276" w:lineRule="auto"/>
        <w:jc w:val="both"/>
      </w:pPr>
      <w:r>
        <w:rPr>
          <w:rFonts w:ascii="Times New Roman" w:eastAsia="Times New Roman" w:hAnsi="Times New Roman" w:cs="Times New Roman"/>
          <w:b/>
          <w:sz w:val="26"/>
        </w:rPr>
        <w:t>Trường hợp 1: Hủy hồ sơ công bố đủ điều kiện đối với cơ sở điều trị bị đình chỉ sau khi hết thời hạn bị đình chỉ</w:t>
      </w:r>
    </w:p>
    <w:p w:rsidR="008F4C92" w:rsidRDefault="005E1BE7">
      <w:pPr>
        <w:spacing w:after="0" w:line="276" w:lineRule="auto"/>
        <w:jc w:val="both"/>
      </w:pPr>
      <w:r>
        <w:rPr>
          <w:rFonts w:ascii="Times New Roman" w:eastAsia="Times New Roman" w:hAnsi="Times New Roman" w:cs="Times New Roman"/>
          <w:sz w:val="26"/>
        </w:rPr>
        <w:t xml:space="preserve">Bước 1: Trong thời hạn 05 ngày làm việc, trước ngày hết thời hạn bị đình chỉ theo quyết định xử phạt vi phạm hành chính, cơ sở điều trị bị đình chỉ gửi hồ sơ khắc phục vi phạm về Sở Y tế. Bước 2: Trong thời hạn 05 ngày làm việc, kể từ ngày tiếp nhận đủ hồ sơ khắc phục vi phạm của cơ sở điều trị bị đình chỉ, Sở Y tế có trách nhiệm xem xét hồ sơ khắc phục vi phạm: Trường hợp cơ sở điều trị bị đình chỉ không khắc phục các vi phạm hoặc việc khắc phục các vi phạm không đáp ứng các quy định tại Điều 16 hoặc Điều </w:t>
      </w:r>
      <w:r>
        <w:rPr>
          <w:rFonts w:ascii="Times New Roman" w:eastAsia="Times New Roman" w:hAnsi="Times New Roman" w:cs="Times New Roman"/>
          <w:sz w:val="26"/>
        </w:rPr>
        <w:t>17 hoặc Điều 18 Nghị định số 141/2024/NĐ-CP, Sở Y tế thực hiện việc hủy hồ sơ công bố của cơ sở điều trị bị đình chỉ trên Trang thông tin điện tử của Sở Y tế.</w:t>
      </w:r>
    </w:p>
    <w:p w:rsidR="008F4C92" w:rsidRDefault="005E1BE7">
      <w:pPr>
        <w:shd w:val="clear" w:color="auto" w:fill="F2F6F9"/>
        <w:spacing w:before="120" w:after="0" w:line="276" w:lineRule="auto"/>
        <w:jc w:val="both"/>
      </w:pPr>
      <w:r>
        <w:rPr>
          <w:rFonts w:ascii="Times New Roman" w:eastAsia="Times New Roman" w:hAnsi="Times New Roman" w:cs="Times New Roman"/>
          <w:b/>
          <w:sz w:val="26"/>
        </w:rPr>
        <w:t>Trường hợp 2: Hủy hồ sơ công bố đủ điều kiện đối với cơ sở điều trị đề nghị dừng hoạt động</w:t>
      </w:r>
    </w:p>
    <w:p w:rsidR="008F4C92" w:rsidRDefault="005E1BE7">
      <w:pPr>
        <w:spacing w:after="0" w:line="276" w:lineRule="auto"/>
        <w:jc w:val="both"/>
      </w:pPr>
      <w:r>
        <w:rPr>
          <w:rFonts w:ascii="Times New Roman" w:eastAsia="Times New Roman" w:hAnsi="Times New Roman" w:cs="Times New Roman"/>
          <w:sz w:val="26"/>
        </w:rPr>
        <w:t>Bước 1: Trong thời hạn 30 ngày trước ngày chấm dứt hoạt động, cơ sở điều trị đề nghị hủy hồ sơ công bố có trách nhiệm thông báo bằng văn bản về Sở Y tế nơi đã công bố hồ sơ của cơ sở điều trị.  Bước 2: Trong thời hạn 05 ngày làm việc, kể từ ngày nhận được văn bản thông báo của cơ sở điều trị, Sở Y tế thực hiện thủ tục hủy hồ sơ công bố của cơ sở điều trị trên Trang thông tin điện tử của Sở Y tế.</w:t>
      </w:r>
    </w:p>
    <w:p w:rsidR="008F4C92" w:rsidRDefault="005E1B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8F4C92">
        <w:tblPrEx>
          <w:tblCellMar>
            <w:top w:w="0" w:type="dxa"/>
            <w:bottom w:w="0" w:type="dxa"/>
          </w:tblCellMar>
        </w:tblPrEx>
        <w:tc>
          <w:tcPr>
            <w:tcW w:w="15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Hình thức nộp</w:t>
            </w:r>
          </w:p>
        </w:tc>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Phí, lệ phí</w:t>
            </w:r>
          </w:p>
        </w:tc>
        <w:tc>
          <w:tcPr>
            <w:tcW w:w="3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Mô tả</w:t>
            </w:r>
          </w:p>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Trực tiếp</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5 Ngày làm việc</w:t>
            </w:r>
          </w:p>
        </w:tc>
        <w:tc>
          <w:tcPr>
            <w:tcW w:w="0" w:type="auto"/>
          </w:tcPr>
          <w:p w:rsidR="008F4C92" w:rsidRDefault="008F4C92"/>
          <w:p w:rsidR="008F4C92" w:rsidRDefault="008F4C92">
            <w:pPr>
              <w:spacing w:after="0" w:line="276" w:lineRule="auto"/>
            </w:pPr>
          </w:p>
        </w:tc>
        <w:tc>
          <w:tcPr>
            <w:tcW w:w="0" w:type="auto"/>
          </w:tcPr>
          <w:p w:rsidR="008F4C92" w:rsidRDefault="008F4C92"/>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Trực tuyến</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5 Ngày làm việc</w:t>
            </w:r>
          </w:p>
        </w:tc>
        <w:tc>
          <w:tcPr>
            <w:tcW w:w="0" w:type="auto"/>
          </w:tcPr>
          <w:p w:rsidR="008F4C92" w:rsidRDefault="008F4C92"/>
          <w:p w:rsidR="008F4C92" w:rsidRDefault="008F4C92">
            <w:pPr>
              <w:spacing w:after="0" w:line="276" w:lineRule="auto"/>
            </w:pPr>
          </w:p>
        </w:tc>
        <w:tc>
          <w:tcPr>
            <w:tcW w:w="0" w:type="auto"/>
          </w:tcPr>
          <w:p w:rsidR="008F4C92" w:rsidRDefault="008F4C92"/>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Dịch vụ bưu chính</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5 Ngày làm việc</w:t>
            </w:r>
          </w:p>
        </w:tc>
        <w:tc>
          <w:tcPr>
            <w:tcW w:w="0" w:type="auto"/>
          </w:tcPr>
          <w:p w:rsidR="008F4C92" w:rsidRDefault="008F4C92"/>
          <w:p w:rsidR="008F4C92" w:rsidRDefault="008F4C92">
            <w:pPr>
              <w:spacing w:after="0" w:line="276" w:lineRule="auto"/>
            </w:pPr>
          </w:p>
        </w:tc>
        <w:tc>
          <w:tcPr>
            <w:tcW w:w="0" w:type="auto"/>
          </w:tcPr>
          <w:p w:rsidR="008F4C92" w:rsidRDefault="008F4C92"/>
        </w:tc>
      </w:tr>
    </w:tbl>
    <w:p w:rsidR="008F4C92" w:rsidRDefault="005E1BE7">
      <w:pPr>
        <w:spacing w:before="240" w:after="0" w:line="276" w:lineRule="auto"/>
        <w:jc w:val="both"/>
      </w:pPr>
      <w:r>
        <w:rPr>
          <w:rFonts w:ascii="Times New Roman" w:eastAsia="Times New Roman" w:hAnsi="Times New Roman" w:cs="Times New Roman"/>
          <w:b/>
          <w:sz w:val="26"/>
        </w:rPr>
        <w:t xml:space="preserve">Thành phần hồ sơ: </w:t>
      </w:r>
    </w:p>
    <w:p w:rsidR="008F4C92" w:rsidRDefault="005E1BE7">
      <w:pPr>
        <w:shd w:val="clear" w:color="auto" w:fill="F2F6F9"/>
        <w:spacing w:before="120" w:after="0" w:line="276" w:lineRule="auto"/>
        <w:jc w:val="both"/>
      </w:pPr>
      <w:r>
        <w:rPr>
          <w:rFonts w:ascii="Times New Roman" w:eastAsia="Times New Roman" w:hAnsi="Times New Roman" w:cs="Times New Roman"/>
          <w:b/>
          <w:sz w:val="26"/>
        </w:rPr>
        <w:t>Trường hợp 1: Hủy hồ sơ công bố đủ điều kiện đối với cơ sở điều trị bị đình chỉ sau khi hết thời hạn bị đình chỉ</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612"/>
        <w:gridCol w:w="1895"/>
        <w:gridCol w:w="1904"/>
      </w:tblGrid>
      <w:tr w:rsidR="008F4C92">
        <w:tblPrEx>
          <w:tblCellMar>
            <w:top w:w="0" w:type="dxa"/>
            <w:bottom w:w="0" w:type="dxa"/>
          </w:tblCellMar>
        </w:tblPrEx>
        <w:tc>
          <w:tcPr>
            <w:tcW w:w="6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Tên giấy tờ</w:t>
            </w:r>
          </w:p>
        </w:tc>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Mẫu đơn, tờ khai</w:t>
            </w:r>
          </w:p>
        </w:tc>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Số lượng</w:t>
            </w:r>
          </w:p>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Hồ sơ khắc phục vi phạm của cơ sở điều trị bị đình chỉ.</w:t>
            </w:r>
          </w:p>
        </w:tc>
        <w:tc>
          <w:tcPr>
            <w:tcW w:w="0" w:type="auto"/>
          </w:tcPr>
          <w:p w:rsidR="008F4C92" w:rsidRDefault="008F4C92"/>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F4C92" w:rsidRDefault="005E1BE7">
      <w:pPr>
        <w:shd w:val="clear" w:color="auto" w:fill="F2F6F9"/>
        <w:spacing w:before="120" w:after="0" w:line="276" w:lineRule="auto"/>
        <w:jc w:val="both"/>
      </w:pPr>
      <w:r>
        <w:rPr>
          <w:rFonts w:ascii="Times New Roman" w:eastAsia="Times New Roman" w:hAnsi="Times New Roman" w:cs="Times New Roman"/>
          <w:b/>
          <w:sz w:val="26"/>
        </w:rPr>
        <w:t>Trường hợp 2: Hủy hồ sơ công bố đủ điều kiện đối với cơ sở điều trị đề nghị dừng hoạt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806"/>
        <w:gridCol w:w="1793"/>
        <w:gridCol w:w="1812"/>
      </w:tblGrid>
      <w:tr w:rsidR="008F4C92">
        <w:tblPrEx>
          <w:tblCellMar>
            <w:top w:w="0" w:type="dxa"/>
            <w:bottom w:w="0" w:type="dxa"/>
          </w:tblCellMar>
        </w:tblPrEx>
        <w:tc>
          <w:tcPr>
            <w:tcW w:w="6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Tên giấy tờ</w:t>
            </w:r>
          </w:p>
        </w:tc>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Mẫu đơn, tờ khai</w:t>
            </w:r>
          </w:p>
        </w:tc>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Số lượng</w:t>
            </w:r>
          </w:p>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Văn bản thông báo đề nghị hủy hồ sơ công bố của cơ sở điều trị</w:t>
            </w:r>
          </w:p>
        </w:tc>
        <w:tc>
          <w:tcPr>
            <w:tcW w:w="0" w:type="auto"/>
          </w:tcPr>
          <w:p w:rsidR="008F4C92" w:rsidRDefault="008F4C92"/>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F4C92" w:rsidRDefault="005E1B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8F4C92" w:rsidRDefault="005E1B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8F4C92" w:rsidRDefault="005E1B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F4C92" w:rsidRDefault="005E1B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F4C92" w:rsidRDefault="005E1B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F4C92" w:rsidRDefault="005E1B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F4C92" w:rsidRDefault="005E1B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Hồ sơ của cơ sở điều trị đã công bố trên Trang thông tin điện tử của Sở Y tế được hủy bỏ</w:t>
      </w:r>
    </w:p>
    <w:p w:rsidR="008F4C92" w:rsidRDefault="005E1B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5"/>
        <w:gridCol w:w="5496"/>
        <w:gridCol w:w="845"/>
        <w:gridCol w:w="1375"/>
      </w:tblGrid>
      <w:tr w:rsidR="008F4C92">
        <w:tblPrEx>
          <w:tblCellMar>
            <w:top w:w="0" w:type="dxa"/>
            <w:bottom w:w="0" w:type="dxa"/>
          </w:tblCellMar>
        </w:tblPrEx>
        <w:tc>
          <w:tcPr>
            <w:tcW w:w="2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Số ký hiệu</w:t>
            </w:r>
          </w:p>
        </w:tc>
        <w:tc>
          <w:tcPr>
            <w:tcW w:w="35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Trích yếu</w:t>
            </w:r>
          </w:p>
        </w:tc>
        <w:tc>
          <w:tcPr>
            <w:tcW w:w="15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Ngày ban hành</w:t>
            </w:r>
          </w:p>
        </w:tc>
        <w:tc>
          <w:tcPr>
            <w:tcW w:w="3000" w:type="dxa"/>
          </w:tcPr>
          <w:p w:rsidR="008F4C92" w:rsidRDefault="008F4C92"/>
          <w:p w:rsidR="008F4C92" w:rsidRDefault="005E1BE7">
            <w:pPr>
              <w:spacing w:after="0" w:line="276" w:lineRule="auto"/>
              <w:jc w:val="center"/>
            </w:pPr>
            <w:r>
              <w:rPr>
                <w:rFonts w:ascii="Times New Roman" w:eastAsia="Times New Roman" w:hAnsi="Times New Roman" w:cs="Times New Roman"/>
                <w:b/>
                <w:sz w:val="26"/>
              </w:rPr>
              <w:t>Cơ quan ban hành</w:t>
            </w:r>
          </w:p>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71/2020/QH14</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Luật sửa đổi, bổ sung một số điều của Luật Phòng; chống nhiễm vi rút gây ra hội chứng suy giảm miễn dịch mắc phải ở người (HIV/AIDS) ngày 16/11/2020</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16-11-2020</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lastRenderedPageBreak/>
              <w:t>Ủy ban thường vụ quốc hội</w:t>
            </w:r>
          </w:p>
        </w:tc>
      </w:tr>
      <w:tr w:rsidR="008F4C92">
        <w:tblPrEx>
          <w:tblCellMar>
            <w:top w:w="0" w:type="dxa"/>
            <w:bottom w:w="0" w:type="dxa"/>
          </w:tblCellMar>
        </w:tblPrEx>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141/2024/NĐ-CP</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Nghị định quy định chi tiết một số điều của Luật Phòng, chống nhiễm vi rút gây ra hội chứng suy giảm miễn dịch mắc phải ở người (HIV/AIDS).</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28-10-2024</w:t>
            </w:r>
          </w:p>
        </w:tc>
        <w:tc>
          <w:tcPr>
            <w:tcW w:w="0" w:type="auto"/>
          </w:tcPr>
          <w:p w:rsidR="008F4C92" w:rsidRDefault="008F4C92"/>
          <w:p w:rsidR="008F4C92" w:rsidRDefault="005E1BE7">
            <w:pPr>
              <w:spacing w:after="0" w:line="276" w:lineRule="auto"/>
            </w:pPr>
            <w:r>
              <w:rPr>
                <w:rFonts w:ascii="Times New Roman" w:eastAsia="Times New Roman" w:hAnsi="Times New Roman" w:cs="Times New Roman"/>
                <w:sz w:val="26"/>
              </w:rPr>
              <w:t>Chính phủ</w:t>
            </w:r>
          </w:p>
        </w:tc>
      </w:tr>
    </w:tbl>
    <w:p w:rsidR="008F4C92" w:rsidRDefault="005E1B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Trường hợp 1: Hủy hồ sơ công bố đủ điều kiện đối với cơ sở điều trị bị đình chỉ sau khi hết thời hạn bị đình chỉ Hồ sơ khắc phục vi phạm của cơ sở điều trị bị đình chỉ không đáp ứng các quy định tại Điều 16 hoặc Điều 17 hoặc Điều 18 Nghị định số 141/2024/NĐ-CP.  *) Trường hợp 2: Hủy hồ sơ công bố đủ điều kiện đối với cơ sở điều trị đề nghị dừng hoạt động Không quy định.</w:t>
      </w:r>
    </w:p>
    <w:p w:rsidR="008F4C92" w:rsidRDefault="005E1B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F4C92" w:rsidRDefault="005E1B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8F4C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4C92"/>
    <w:rsid w:val="005E1BE7"/>
    <w:rsid w:val="008F4C92"/>
    <w:rsid w:val="00FB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C41A6-E0A7-4470-8E1E-26D9EFA7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