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1.013705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1983/QĐ-BYT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giấy đăng ký lưu hành thuốc, nguyên liệu làm thuốc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Nộp hồ sơ
Cơ sở đăng ký thực hiện nộp hồ sơ theo quy định tại Điều 16 Nghị định số 61/2018/NĐ-CP, theo các cách thức sau:
- Trực tiếp tại Bộ phận Một cửa – Bộ Y tế;
- Thông qua dịch vụ bưu chính công ích theo quy định của Thủ tướng Chính phủ, qua thuê dịch vụ của doanh nghiệp, cá nhân hoặc qua ủy quyền theo quy định của pháp luật;
- Trực tuyến tại Cổng Dịch vụ công Bộ Y tế.</w:t>
      </w:r>
    </w:p>
    <w:p>
      <w:pPr>
        <w:spacing w:after="0" w:before="0" w:lineRule="auto" w:line="276"/>
        <w:jc w:val="both"/>
      </w:pPr>
      <w:r>
        <w:rPr>
          <w:rFonts w:ascii="Times New Roman" w:hAnsi="Times New Roman" w:cs="Times New Roman" w:eastAsia="Times New Roman"/>
          <w:b w:val="false"/>
          <w:sz w:val="26"/>
        </w:rPr>
        <w:t>Bước 2. Tiếp nhận hồ sơ: Khi nhận đủ hồ sơ, Cục Quản lý Dược cấp cho cơ sở đăng ký thuốc giấy tiếp nhận hồ sơ theo quy định.</w:t>
      </w:r>
    </w:p>
    <w:p>
      <w:pPr>
        <w:spacing w:after="0" w:before="0" w:lineRule="auto" w:line="276"/>
        <w:jc w:val="both"/>
      </w:pPr>
      <w:r>
        <w:rPr>
          <w:rFonts w:ascii="Times New Roman" w:hAnsi="Times New Roman" w:cs="Times New Roman" w:eastAsia="Times New Roman"/>
          <w:b w:val="false"/>
          <w:sz w:val="26"/>
        </w:rPr>
        <w:t>Bước 3. Tổ chức thẩm định:
a) Trong thời hạn 03 ngày làm việc kể từ ngày tiếp nhận hồ sơ theo quy định tại bước 2, Cục Quản lý Dược tiến hành rà soát, phân loại và chuyển hồ sơ cho các chuyên gia thẩm định hoặc các đơn vị thẩm định;
b) Trong thời hạn 01 tháng kể từ ngày nhận được hồ sơ từ Cục Quản lý Dược, các chuyên gia và đơn vị thẩm định tổ chức thẩm định, hoàn thành biên bản thẩm định và gửi Cục Quản lý Dược.</w:t>
      </w:r>
    </w:p>
    <w:p>
      <w:pPr>
        <w:spacing w:after="0" w:before="0" w:lineRule="auto" w:line="276"/>
        <w:jc w:val="both"/>
      </w:pPr>
      <w:r>
        <w:rPr>
          <w:rFonts w:ascii="Times New Roman" w:hAnsi="Times New Roman" w:cs="Times New Roman" w:eastAsia="Times New Roman"/>
          <w:b w:val="false"/>
          <w:sz w:val="26"/>
        </w:rPr>
        <w:t>Bước 4. Xử lý sau thẩm định:
a) Đối với hồ sơ gia hạn quy định tại điểm b khoản 1 Điều 43 Thông tư số 12/2025/TT-BYT (gia hạn trên cơ sở thẩm định hồ sơ, tư vấn của Hội đồng tư vấn cấp giấy đăng ký lưu hành thuốc, nguyên liệu làm thuốc):
Trong thời hạn 15 ngày kể từ ngày nhận được biên bản thẩm định, trên cơ sở tổng hợp ý kiến thẩm định của các chuyên gia, các đơn vị thẩm định và các quy định hiện hành, Cục Quản lý Dược có văn bản thông báo cho cơ sở đăng ký thuốc để bổ sung tài liệu đối với các hồ sơ thẩm định chưa đạt yêu cầu hoặc chuyển Hội đồng đối với các hồ sơ có kết quả thẩm định đạt, không đạt, cần xin ý kiến và được Cục Quản lý Dược đề xuất gia hạn, không gia hạn hoặc xin ý kiến Hội đồng;
b) Đối với hồ sơ gia hạn quy định tại điểm a khoản 2 Điều 43 Thông tư số 12/2025/TT-BYT (gia hạn trên cơ sở thẩm định hồ sơ mà không yêu cầu thẩm định hồ sơ, tư vấn của Hội đồng), trên cơ sở tổng hợp ý kiến thẩm định của các chuyên gia, các đơn vị thẩm định và các quy định hiện hành, Cục Quản lý Dược thực hiện:
- Có văn bản thông báo cho cơ sở đăng ký để bổ sung tài liệu đối với các hồ sơ thẩm định chưa đạt yêu cầu hoặc có văn bản thông báo không gia hạn đối với hồ sơ không đạt yêu cầu trong thời hạn 10 ngày;
- Gia hạn giấy đăng ký lưu hành theo Mẫu 6B/TT ban hành kèm theo Thông tư số 12/2025/TT-BYT đối với hồ sơ đạt yêu cầu trong thời hạn 15 ngày.</w:t>
      </w:r>
    </w:p>
    <w:p>
      <w:pPr>
        <w:spacing w:after="0" w:before="0" w:lineRule="auto" w:line="276"/>
        <w:jc w:val="both"/>
      </w:pPr>
      <w:r>
        <w:rPr>
          <w:rFonts w:ascii="Times New Roman" w:hAnsi="Times New Roman" w:cs="Times New Roman" w:eastAsia="Times New Roman"/>
          <w:b w:val="false"/>
          <w:sz w:val="26"/>
        </w:rPr>
        <w:t>Bước 5. Họp Hội đồng:
Trong thời hạn 15 ngày kể từ ngày nhận được tài liệu từ Cục Quản lý Dược, Văn phòng Hội đồng tổ chức họp Hội đồng.</w:t>
      </w:r>
    </w:p>
    <w:p>
      <w:pPr>
        <w:spacing w:after="0" w:before="0" w:lineRule="auto" w:line="276"/>
        <w:jc w:val="both"/>
      </w:pPr>
      <w:r>
        <w:rPr>
          <w:rFonts w:ascii="Times New Roman" w:hAnsi="Times New Roman" w:cs="Times New Roman" w:eastAsia="Times New Roman"/>
          <w:b w:val="false"/>
          <w:sz w:val="26"/>
        </w:rPr>
        <w:t>Bước 6. Xử lý sau họp Hội đồng:
a) Trong thời hạn 10 ngày kể từ ngày họp Hội đồng, Văn phòng Hội đồng hoàn thiện và gửi biên bản họp Hội đồng về Cục Quản lý Dược;
b) Trong thời hạn 15 ngày kể từ ngày nhận được biên bản họp Hội đồng, Cục Quản lý Dược gia hạn giấy đăng ký lưu hành theo Mẫu 6B/TT ban hành kèm theo Thông tư số 12/2025/TT-BYT đối với hồ sơ đạt yêu cầu; có văn bản thông báo cho cơ sở đăng ký thuốc theo kết luận của Hội đồng đối với hồ sơ chưa đạt, không đạt.</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4.500.000 Đồng</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4.500.000 Đồng</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Tháng</w:t>
            </w:r>
          </w:p>
        </w:tc>
        <w:tc>
          <w:p/>
          <w:p>
            <w:pPr>
              <w:spacing w:after="0" w:before="0" w:lineRule="auto" w:line="276"/>
              <w:jc w:val="left"/>
            </w:pPr>
            <w:r>
              <w:rPr>
                <w:rFonts w:ascii="Times New Roman" w:hAnsi="Times New Roman" w:cs="Times New Roman" w:eastAsia="Times New Roman"/>
                <w:b w:val="false"/>
                <w:sz w:val="26"/>
              </w:rPr>
              <w:t>Phí : 4.500.000 Đồng</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gia hạn giấy đăng ký lưu hành thuốc, nguyên liệu làm thuốc theo Mẫu 4B/TT ban hành kèm theo Thông tư số 12/2025/TT-BYT.</w:t>
            </w:r>
          </w:p>
        </w:tc>
        <w:tc>
          <w:p/>
          <w:p>
            <w:pPr>
              <w:spacing w:after="0" w:before="0" w:lineRule="auto" w:line="276"/>
              <w:jc w:val="left"/>
            </w:pPr>
            <w:r>
              <w:rPr>
                <w:rFonts w:ascii="Times New Roman" w:hAnsi="Times New Roman" w:cs="Times New Roman" w:eastAsia="Times New Roman"/>
                <w:b w:val="false"/>
                <w:sz w:val="26"/>
              </w:rPr>
              <w:t>MU10.docx</w:t>
            </w:r>
          </w:p>
          <w:p>
            <w:pPr>
              <w:spacing w:after="0" w:before="0" w:lineRule="auto" w:line="276"/>
              <w:jc w:val="left"/>
            </w:pPr>
            <w:r>
              <w:rPr>
                <w:rFonts w:ascii="Times New Roman" w:hAnsi="Times New Roman" w:cs="Times New Roman" w:eastAsia="Times New Roman"/>
                <w:b w:val="false"/>
                <w:sz w:val="26"/>
              </w:rPr>
              <w:t>Mu4B.docx</w:t>
            </w:r>
          </w:p>
          <w:p>
            <w:pPr>
              <w:spacing w:after="0" w:before="0" w:lineRule="auto" w:line="276"/>
              <w:jc w:val="left"/>
            </w:pPr>
            <w:r>
              <w:rPr>
                <w:rFonts w:ascii="Times New Roman" w:hAnsi="Times New Roman" w:cs="Times New Roman" w:eastAsia="Times New Roman"/>
                <w:b w:val="false"/>
                <w:sz w:val="26"/>
              </w:rPr>
              <w:t>MU11.docx</w:t>
            </w:r>
          </w:p>
          <w:p>
            <w:pPr>
              <w:spacing w:after="0" w:before="0" w:lineRule="auto" w:line="276"/>
              <w:jc w:val="left"/>
            </w:pPr>
            <w:r>
              <w:rPr>
                <w:rFonts w:ascii="Times New Roman" w:hAnsi="Times New Roman" w:cs="Times New Roman" w:eastAsia="Times New Roman"/>
                <w:b w:val="false"/>
                <w:sz w:val="26"/>
              </w:rPr>
              <w:t>Mu6B.docx</w:t>
            </w:r>
          </w:p>
          <w:p>
            <w:pPr>
              <w:spacing w:after="0" w:before="0" w:lineRule="auto" w:line="276"/>
              <w:jc w:val="left"/>
            </w:pPr>
            <w:r>
              <w:rPr>
                <w:rFonts w:ascii="Times New Roman" w:hAnsi="Times New Roman" w:cs="Times New Roman" w:eastAsia="Times New Roman"/>
                <w:b w:val="false"/>
                <w:sz w:val="26"/>
              </w:rPr>
              <w:t>Mau2C.doc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2. Giấy chứng nhận CPP còn thời hạn hiệu lực đối với thuốc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3. Báo cáo an toàn, hiệu quả của thuốc trong quá trình lưu hành theo Mẫu 2C/TT ban hành kèm theo Thông tư số 12/2025/TT-BYT.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Dược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lưu hành, 1:Công văn trả lời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105/2016/QH13</w:t>
            </w:r>
          </w:p>
        </w:tc>
        <w:tc>
          <w:p/>
          <w:p>
            <w:pPr>
              <w:spacing w:after="0" w:before="0" w:lineRule="auto" w:line="276"/>
              <w:jc w:val="left"/>
            </w:pPr>
            <w:r>
              <w:rPr>
                <w:rFonts w:ascii="Times New Roman" w:hAnsi="Times New Roman" w:cs="Times New Roman" w:eastAsia="Times New Roman"/>
                <w:b w:val="false"/>
                <w:sz w:val="26"/>
              </w:rPr>
              <w:t>105/2016/QH13 Dược</w:t>
            </w:r>
          </w:p>
        </w:tc>
        <w:tc>
          <w:p/>
          <w:p>
            <w:pPr>
              <w:spacing w:after="0" w:before="0" w:lineRule="auto" w:line="276"/>
              <w:jc w:val="left"/>
            </w:pPr>
            <w:r>
              <w:rPr>
                <w:rFonts w:ascii="Times New Roman" w:hAnsi="Times New Roman" w:cs="Times New Roman" w:eastAsia="Times New Roman"/>
                <w:b w:val="false"/>
                <w:sz w:val="26"/>
              </w:rPr>
              <w:t>06-04-2016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41/2023/TT-BTC</w:t>
            </w:r>
          </w:p>
        </w:tc>
        <w:tc>
          <w:p/>
          <w:p>
            <w:pPr>
              <w:spacing w:after="0" w:before="0" w:lineRule="auto" w:line="276"/>
              <w:jc w:val="left"/>
            </w:pPr>
            <w:r>
              <w:rPr>
                <w:rFonts w:ascii="Times New Roman" w:hAnsi="Times New Roman" w:cs="Times New Roman" w:eastAsia="Times New Roman"/>
                <w:b w:val="false"/>
                <w:sz w:val="26"/>
              </w:rPr>
              <w:t>12-06-2023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số 44/2024/QH15</w:t>
            </w:r>
          </w:p>
        </w:tc>
        <w:tc>
          <w:p/>
          <w:p>
            <w:pPr>
              <w:spacing w:after="0" w:before="0" w:lineRule="auto" w:line="276"/>
              <w:jc w:val="left"/>
            </w:pPr>
            <w:r>
              <w:rPr>
                <w:rFonts w:ascii="Times New Roman" w:hAnsi="Times New Roman" w:cs="Times New Roman" w:eastAsia="Times New Roman"/>
                <w:b w:val="false"/>
                <w:sz w:val="26"/>
              </w:rPr>
              <w:t>21-11-2024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12/2025/TT-BYT</w:t>
            </w:r>
          </w:p>
        </w:tc>
        <w:tc>
          <w:p/>
          <w:p>
            <w:pPr>
              <w:spacing w:after="0" w:before="0" w:lineRule="auto" w:line="276"/>
              <w:jc w:val="left"/>
            </w:pPr>
            <w:r>
              <w:rPr>
                <w:rFonts w:ascii="Times New Roman" w:hAnsi="Times New Roman" w:cs="Times New Roman" w:eastAsia="Times New Roman"/>
                <w:b w:val="false"/>
                <w:sz w:val="26"/>
              </w:rPr>
              <w:t>Thông tư của Bộ trưởng Bộ Y tế</w:t>
            </w:r>
          </w:p>
        </w:tc>
        <w:tc>
          <w:p/>
          <w:p>
            <w:pPr>
              <w:spacing w:after="0" w:before="0" w:lineRule="auto" w:line="276"/>
              <w:jc w:val="left"/>
            </w:pPr>
            <w:r>
              <w:rPr>
                <w:rFonts w:ascii="Times New Roman" w:hAnsi="Times New Roman" w:cs="Times New Roman" w:eastAsia="Times New Roman"/>
                <w:b w:val="false"/>
                <w:sz w:val="26"/>
              </w:rPr>
              <w:t>16-05-2025</w:t>
            </w:r>
          </w:p>
        </w:tc>
        <w:tc>
          <w:p/>
          <w:p>
            <w:pPr>
              <w:spacing w:after="0" w:before="0" w:lineRule="auto" w:line="276"/>
              <w:jc w:val="left"/>
            </w:pPr>
            <w:r>
              <w:rPr>
                <w:rFonts w:ascii="Times New Roman" w:hAnsi="Times New Roman" w:cs="Times New Roman" w:eastAsia="Times New Roman"/>
                <w:b w:val="false"/>
                <w:sz w:val="26"/>
              </w:rPr>
              <w:t>Bộ Y tế</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Khoản 4 Điều 55 Luật Dược: 
Gia hạn giấy đăng ký lưu hành thuốc, nguyên liệu làm thuốc khi giấy đăng ký lưu hành hết thời hạn hiệu lực bao gồm cả thuốc, nguyên liệu làm thuốc có thay đổi về hồ sơ hành chính tại thời điểm đăng ký gia hạn.
2. Khoản 5 Điều 12 Thông tư số 12/2025/TT-BYT: Thời hạn nộp hồ sơ đăng ký gia hạn: 
Hồ sơ đề nghị gia hạn giấy đăng ký lưu hành thuốc, nguyên liệu làm thuốc phải được nộp trước ngày giấy đăng ký lưu hành hết hiệu lực. Sau thời hạn giấy đăng ký lưu hành hết hiệu lực, Cục Quản lý Dược không tiếp nhận hồ sơ gia hạn giấy đăng ký lưu hành thuốc, nguyên liệu làm thuốc, cơ sở nộp hồ sơ theo hình thức đề nghị cấp giấy đăng ký lưu hành.
3. Điều 17 Thông tư số 12/2025/TT-BYT: Quy định về xác minh tính xác thực của giấy tờ pháp lý trong hồ sơ đề nghị gia hạn giấy đăng ký lưu hành
3.1. Xác minh tính xác thực của CPP trong hồ sơ đề nghị gia hạn giấy đăng ký lưu hành đối với các trường hợp sau:
a) CPP có nội dung bị tẩy xóa, sửa chữa thông tin;
b) Cơ sở sản xuất, cơ sở đăng ký đã bị cơ quan có thẩm quyền của Việt Nam xử phạt hành chính do vi phạm điểm q khoản 2 Điều 42 Luật Dược. Thời hạn áp dụng việc xác minh tính xác thực CPP là 03 năm kể từ ngày có quyết định xử phạt hành chính hoặc từ ngày kết thúc thời hạn tạm ngừng nhận hồ sơ cấp, gia hạn giấy đăng ký lưu hành nếu có áp dụng biện pháp tạm ngừng nhận hồ sơ cấp, gia hạn giấy đăng ký lưu hành;
c) Cơ sở sản xuất lần đầu tiên có thuốc đăng ký lưu hành tại Việt Nam, bao gồm cả trường hợp cơ sở chỉ tham gia một hoặc một số công đoạn của quá trình sản xuất; 
d) CPP là bản điện tử của cơ quan có thẩm quyền các nước nhưng khi thẩm định hồ sơ không tra cứu được từ trang thông tin điện tử hoặc cơ sở dữ liệu mà cơ sở đăng ký cung cấp;
đ) Các trường hợp do Hội đồng yêu cầu thực hiện việc xác thực.
3.2. Xác minh tính xác thực của giấy tờ pháp lý tại hồ sơ đăng ký thuốc, nguyên liệu làm thuốc trong một số trường hợp khác:
a) Đối với cơ sở đăng ký nước ngoài lần đầu có thuốc, nguyên liệu làm thuốc đăng ký lưu hành tại Việt Nam, Cục Quản lý Dược thực hiện xác minh tính xác thực giấy phép sản xuất, kinh doanh thuốc tại nước sở tại;
b) Giấy tờ pháp lý do cơ quan có thẩm quyền nước ngoài cấp chưa đáp ứng theo quy định tại điểm b khoản 1 Điều 22 Thông tư số 12/2025/TT-BYT. 
3.3. Đối với thuốc đã được cấp giấy đăng ký lưu hành, Cục Quản lý Dược thực hiện xác minh tính xác thực của các giấy tờ pháp lý khi tiếp nhận thông tin phản ánh liên quan đến tình trạng cấp phép, lưu hành thuốc ở nước sở tại cần xác minh, làm rõ hoặc thông tin về việc không đáp ứng điều kiện hoạt động của cơ sở sản xuất thuốc, cơ sở đăng ký nước ngoài từ các nguồn thông tin sau:
a) Văn bản gửi đến Cục Quản lý Dược bao gồm đầy đủ tên, địa chỉ của cơ quan, tổ chức, cá nhân gửi; kèm theo tài liệu liên quan đến thông tin phản ánh;
b) Thông tin từ phương tiện thông tin đại chúng.
3.4. Hình thức thực hiện xác minh tính xác thực của CPP và giấy tờ pháp lý nộp trong hồ sơ đăng ký thuốc, nguyên liệu làm thuốc:
a) Xác minh tính xác thực giấy tờ pháp lý liên quan đến hợp pháp hóa lãnh sự: 
Cục Quản lý Dược phối hợp với Cục Lãnh sự - Bộ Ngoại giao hoặc các cơ quan ngoại giao có chức năng hợp pháp hoá lãnh sự của Việt Nam tại nước ngoài để xác minh thẩm quyền, thông tin liên quan đến hợp pháp hóa lãnh sự giấy tờ pháp lý nước ngoài sử dụng tại Việt Nam đối với các trường hợp quy định tại điểm c khoản 1 và điểm a khoản 2 Điều này;
b) Xác minh tính xác thực của nội dung giấy tờ pháp lý: 
Cục Quản lý Dược phối hợp với Cơ quan cấp, ban hành các giấy tờ pháp lý để xác minh các thông tin đã nêu trong các giấy tờ nêu trên đối với các trường hợp quy định tại điểm a, b, d và đ khoản 1 và điểm b khoản 2 Điều này;
c) Việc xác minh tính xác thực giấy tờ pháp lý được thực hiện đồng thời với thủ tục thẩm định hồ sơ đăng ký thuốc, nguyên liệu làm thuốc hoặc khi tiếp nhận thông tin theo quy định tại khoản 3 Điều này;
d) Văn bản đề nghị xác minh tính xác thực giấy tờ pháp lý được gửi đồng thời cho cơ sở đăng ký thuốc. 
3.5. Đối với hồ sơ đề nghị gia hạn, thay đổi, bổ sung giấy đăng ký lưu hành thuốc, nguyên liệu làm thuốc có giấy tờ pháp lý phải xác minh tính xác thực theo quy định tại khoản 1 và khoản 2 Điều này, không bắt buộc phải có kết quả xác minh tính xác thực trước thời điểm gia hạn hoặc thay đổi, bổ sung giấy đăng ký lưu hành thuốc, nguyên liệu làm thuốc..
4. Điều 22 Thông tư số 12/2025/TT-BYT: Quy định chung đối với tài liệu hành chính
4.1. Các tài liệu quy định tại khoản 3, 4, 5, 6 và 7 Điều 26 Thông tư số 12/2025/TT-BYT (gọi chung là giấy tờ pháp lý) trong hồ sơ phải đáp ứng các quy định sau:
a) Giấy tờ pháp lý nộp trong hồ sơ đăng ký thuốc, nguyên liệu làm thuốc phải là bản chính hoặc bản sao theo quy định tại Nghị định số 23/2015/NĐ-CP ngày 16 tháng 02 năm 2015 của Chính phủ về cấp bản sao từ sổ gốc, chứng thực bản sao từ bản chính, chứng thực chữ ký và chứng thực hợp đồng, giao dịch. Giấy tờ pháp lý do cơ quan có thẩm quyền nước ngoài cấp phải được hợp pháp hóa lãnh sự theo quy định của pháp luật về hợp pháp hóa lãnh sự, trừ các trường hợp được miễn theo quy định của pháp luật;
b) Giấy tờ pháp lý có đầy đủ chữ ký, tên người ký, ngày cấp và dấu của cơ quan có thẩm quyền của nước cấp, trừ trường hợp giấy tờ pháp lý không có đủ các thông tin này theo quy định của nước cấp là hợp lệ;
c) Trường hợp giấy tờ pháp lý được cấp là bản điện tử (chấp nhận bản không có chữ ký, tên người ký hoặc dấu của cơ quan có thẩm quyền cấp giấy tờ pháp lý), cơ sở đăng ký phải nộp một trong các giấy tờ sau:
- Giấy tờ pháp lý in từ trang thông tin điện tử hoặc cơ sở dữ liệu của cơ quan có thẩm quyền cấp giấy tờ pháp lý hoặc trên trang thông tin điện tử do cơ quan có thẩm quyền nước sở tại hoặc cơ quan cấp khu vực vận hành;
- Kết quả tự tra cứu giấy tờ pháp lý từ trang thông tin điện tử hoặc cơ sở dữ liệu tiếng Anh của cơ quan có thẩm quyền cấp giấy tờ pháp lý hoặc trên trang thông tin điện tử do cơ quan có thẩm quyền nước sở tại hoặc cơ quan cấp khu vực vận hành. Kết quả tự tra cứu phải có đóng dấu xác nhận của cơ sở đăng ký kèm theo văn bản cung cấp thông tin về đường dẫn tra cứu; 
d) Giấy tờ pháp lý phải còn hiệu lực tại thời điểm tiếp nhận ghi trên Giấy tiếp nhận hồ sơ đối với giấy tờ pháp lý có ghi thời hạn hiệu lực. Trường hợp CPP không ghi thời hạn hiệu lực thì thời hạn hiệu lực được tính là 24 tháng kể từ ngày cấp.
4.2. Quy định đối với CPP:
a) CPP phải có đủ nội dung theo mẫu của WHO được công bố trên trang thông tin điện tử của WHO (https://www.who.int);
b) CPP phải được cấp bởi cơ quan có thẩm quyền của nước sản xuất hoặc bởi cơ quan có thẩm quyền cấp CPP của nước có cơ quan quản lý dược quy định tại khoản 9 Điều 2 Thông tư số 12/2025/TT-BYT xác nhận thuốc được cấp phép và lưu hành thực tế tại nước đó;
c) Trường hợp để đáp ứng nhu cầu phòng, điều trị bệnh truyền nhiễm thuộc nhóm A đã được công bố dịch theo quy định của pháp luật về phòng, chống bệnh truyền nhiễm, CPP có thể được thay thế bằng tài liệu khác do cơ quan có thẩm quyền cấp, trong đó xác nhận thuốc được phép lưu hành, sử dụng tại nước sở tại và thể hiện đầy đủ thông tin về tên, địa chỉ cơ sở sản xuất và điều kiện cấp phép;
d) Trường hợp CPP chưa đáp ứng quy định tại điểm a, b khoản này, Bộ trưởng Bộ Y tế xem xét quyết định trên cơ sở ý kiến tư vấn của Hội đồng khi thuốc được cấp phép lưu hành bởi cơ quan có thẩm quyền của ít nhất một nước trên thế giới và thuộc một trong các trường hợp sau đây:
- Thuốc, vắc xin, sinh phẩm để đáp ứng nhu cầu cho quốc phòng, an ninh; phòng, chống dịch, bệnh, khắc phục hậu quả thiên tai, thảm họa, thuốc phục vụ cho chương trình y tế của nhà nước;
- Vắc xin dùng cho chương trình tiêm chủng mở rộng quốc gia mà trên thị trường không sẵn có vắc xin khác có khả năng thay thế về mặt số lượng, chất lượng, an toàn, hiệu quả hoặc chi phí sử dụng vắc xin;
- Các trường hợp đặc biệt khác có văn bản thỏa thuận, công nhận lẫn nhau giữa các cơ quan có thẩm quyền về điều kiện sản xuất, lưu hành thuốc, vắc xin, sinh phẩm;
đ) Các thông tin thể hiện trên CPP phải thống nhất với các thông tin có liên quan trong hồ sơ đăng ký thuốc, nguyên liệu làm thuốc. Trường hợp thông tin thể hiện trên CPP chưa thống nhất với tài liệu hành chính trong hồ sơ đăng ký thuốc, nguyên liệu làm thuốc, cơ sở đăng ký có văn bản giải trình kèm theo tài liệu chứng minh.
4.3. Quy định đối với đơn đăng ký và hồ sơ, tài liệu hành chính khác:
a) Đơn đăng ký và hồ sơ, tài liệu khác trong phần hồ sơ hành chính có liên quan phải được ký và đóng dấu (chấp nhận cả chữ ký số), không sử dụng chữ ký dấu; 
b) Các tài liệu trên phải được ký bởi một trong chức danh sau:
- Chủ tịch Hội đồng thành viên, hội đồng quản trị; tổng giám đốc; giám đốc điều hành; giám đốc cơ sở đăng ký, sản xuất;
- Người được phân công theo quy định tại điều lệ công ty, văn bản phân công công việc hoặc tài liệu khác chứng minh về thẩm quyền ký của người ký;
- Người được những người quy định tại tiết 1 hoặc tiết 2 điểm này ủy quyền trực tiếp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https://thutuc.dichvucong.gov.vn/p/home/dvc-tthc-thu-tuc-hanh-chinh-chi-tiet.html?ma_thu_tuc=383685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2025-12-02T12:19:27Z</dcterms:created>
  <dc:creator>Apache POI</dc:creator>
</cp:coreProperties>
</file>