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1983/QĐ-BYT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bổ sung giấy đăng ký lưu hành thuốc, nguyên liệu làm thuốc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Cơ sở đăng ký thực hiện nộp hồ sơ theo quy định tại Điều 16 Nghị định số 61/2018/NĐ-CP, theo các cách thức sau:
- Trực tiếp tại Bộ phận Một cửa – Bộ Y tế;
- Thông qua dịch vụ bưu chính công ích theo quy định của Thủ tướng Chính phủ, qua thuê dịch vụ của doanh nghiệp, cá nhân hoặc qua ủy quyền theo quy định của pháp luật;
- Trực tuyến tại Cổng Dịch vụ công Bộ Y tế.</w:t>
      </w:r>
    </w:p>
    <w:p>
      <w:pPr>
        <w:spacing w:after="0" w:before="0" w:lineRule="auto" w:line="276"/>
        <w:jc w:val="both"/>
      </w:pPr>
      <w:r>
        <w:rPr>
          <w:rFonts w:ascii="Times New Roman" w:hAnsi="Times New Roman" w:cs="Times New Roman" w:eastAsia="Times New Roman"/>
          <w:b w:val="false"/>
          <w:sz w:val="26"/>
        </w:rPr>
        <w:t>Bước 2. Tiếp nhận hồ sơ:
Khi nhận đủ hồ sơ, Cục Quản lý Dược cấp cho cơ sở đăng ký thuốc giấy tiếp nhận hồ sơ theo quy định.</w:t>
      </w:r>
    </w:p>
    <w:p>
      <w:pPr>
        <w:spacing w:after="0" w:before="0" w:lineRule="auto" w:line="276"/>
        <w:jc w:val="both"/>
      </w:pPr>
      <w:r>
        <w:rPr>
          <w:rFonts w:ascii="Times New Roman" w:hAnsi="Times New Roman" w:cs="Times New Roman" w:eastAsia="Times New Roman"/>
          <w:b w:val="false"/>
          <w:sz w:val="26"/>
        </w:rPr>
        <w:t>Bước 3. Tổ chức thẩm định:
a) Kể từ ngày tiếp nhận hồ sơ theo quy định tại bước 2, Cục Quản lý Dược thực hiện công khai đối với hồ sơ quy định tại khoản 3 Điều 43 Thông tư số 12/2025/TT-BYT (hồ sơ thay đổi nhỏ chỉ yêu cầu thông báo) trong thời hạn 20 ngày; tiến hành rà soát, phân loại và chuyển hồ sơ cho các chuyên gia thẩm định hoặc các đơn vị thẩm định đối với hồ sơ quy định tại điểm c khoản 1 (hồ sơ thay đổi, bổ sung thuộc trường hợp: Phân loại thuốc kê đơn, không kê đơn, thay đổi, bổ sung chỉ định, liều dùng, đường dùng, đối tượng dùng; phân loại biệt dược gốc, sinh phẩm tham chiếu, thuốc có chứng minh tương đương sinh học) hoặc điểm b khoản 2 Điều 43 Thông tư số 12/2025/TT-BYT (thay đổi, bổ sung giấy đăng ký lưu hành thuốc, nguyên liệu làm thuốc không thuộc trường hợp quy định tại điểm c khoản 1 và khoản 3 Điều này và cập nhật tờ hướng dẫn sử dụng theo biệt dược gốc) trong thời hạn như sau:
- Hồ sơ quy định tại điểm c khoản 1 Điều 43 Thông tư số 12/2025/TT-BYT: 03 ngày làm việc đối với hồ sơ nộp lần đầu, 02 ngày làm việc đối với hồ sơ nộp bổ sung;
- Hồ sơ quy định tại điểm b khoản 2 Điều 43 Thông tư số 12/2025/TT-BYT: 03 ngày làm việc đối với hồ sơ nộp lần đầu và hồ sơ nộp bổ sung;
b) Kể từ ngày nhận được hồ sơ từ Cục Quản lý Dược, các chuyên gia và đơn vị thẩm định tổ chức thẩm định, hoàn thành biên bản thẩm định và gửi Cục Quản lý Dược trong thời hạn như sau:
- Hồ sơ quy định tại điểm c khoản 1 Điều 43 Thông tư số 12/2025/TT-BYT: 01 tháng đối với hồ sơ nộp lần đầu, 15 ngày đối với hồ sơ nộp bổ sung;
- Hồ sơ quy định tại điểm b khoản 2 Điều 43 Thông tư số 12/2025/TT-BYT: 01 tháng đối với hồ sơ nộp lần</w:t>
      </w:r>
    </w:p>
    <w:p>
      <w:pPr>
        <w:spacing w:after="0" w:before="0" w:lineRule="auto" w:line="276"/>
        <w:jc w:val="both"/>
      </w:pPr>
      <w:r>
        <w:rPr>
          <w:rFonts w:ascii="Times New Roman" w:hAnsi="Times New Roman" w:cs="Times New Roman" w:eastAsia="Times New Roman"/>
          <w:b w:val="false"/>
          <w:sz w:val="26"/>
        </w:rPr>
        <w:t>Bước 4. Xử lý sau thẩm định:
a) Đối với hồ sơ thay đổi, bổ sung quy định tại điểm c khoản 1 Điều 43 Thông tư số 12/2025/TT-BYT:
Kể từ ngày nhận được biên bản thẩm định, trên cơ sở tổng hợp ý kiến thẩm định của các chuyên gia, các đơn vị thẩm định và các quy định hiện hành, Cục Quản lý Dược ban hành văn bản thông báo cho cơ sở đăng ký thuốc để bổ sung tài liệu đối với các hồ sơ thẩm định chưa đạt yêu cầu hoặc chuyển Hội đồng đối với các hồ sơ có kết quả thẩm định đạt, không đạt, cần xin ý kiến và được Cục Quản lý Dược đề xuất phê duyệt, không phê duyệt hoặc xin ý kiến Hội đồng trong thời hạn: 15 ngày đối với hồ sơ nộp lần đầu, 10 ngày đối với hồ sơ nộp bổ sung;
b) Đối với hồ sơ thay đổi, bổ sung quy định tại điểm b khoản 2 Điều 43 Thông tư số 12/2025/TT-BYT:
Kể từ ngày nhận được biên bản thẩm định, trên cơ sở tổng hợp ý kiến thẩm định của các chuyên gia, các đơn vị thẩm định và các quy định hiện hành, Cục Quản lý Dược ban hành văn bản thông báo cho cơ sở đăng ký để bổ sung tài liệu đối với các hồ sơ thẩm định chưa đạt yêu cầu và ban hành văn bản phê duyệt nội dung thay đổi, bổ sung giấy đăng ký lưu hành đối với hồ sơ đạt yêu cầu hoặc văn bản thông báo không phê duyệt đối với hồ sơ không đạt yêu cầu trong thời hạn: 25 ngày đối với hồ sơ nộp lần đầu và hồ sơ nộp bổ sung.</w:t>
      </w:r>
    </w:p>
    <w:p>
      <w:pPr>
        <w:spacing w:after="0" w:before="0" w:lineRule="auto" w:line="276"/>
        <w:jc w:val="both"/>
      </w:pPr>
      <w:r>
        <w:rPr>
          <w:rFonts w:ascii="Times New Roman" w:hAnsi="Times New Roman" w:cs="Times New Roman" w:eastAsia="Times New Roman"/>
          <w:b w:val="false"/>
          <w:sz w:val="26"/>
        </w:rPr>
        <w:t>Bước 5. Họp Hội đồng:
Trong thời hạn 15 ngày kể từ ngày nhận được tài liệu từ Cục Quản lý Dược, Văn phòng Hội đồng tổ chức họp Hội đồng.</w:t>
      </w:r>
    </w:p>
    <w:p>
      <w:pPr>
        <w:spacing w:after="0" w:before="0" w:lineRule="auto" w:line="276"/>
        <w:jc w:val="both"/>
      </w:pPr>
      <w:r>
        <w:rPr>
          <w:rFonts w:ascii="Times New Roman" w:hAnsi="Times New Roman" w:cs="Times New Roman" w:eastAsia="Times New Roman"/>
          <w:b w:val="false"/>
          <w:sz w:val="26"/>
        </w:rPr>
        <w:t>Bước 6. Xử lý sau họp Hội đồng:
a) Trong thời hạn 10 ngày kể từ ngày họp Hội đồng, Văn phòng Hội đồng hoàn thiện và ban hành biên bản họp Hội đồng.
b) Trong thời hạn 15 ngày kể từ ngày nhận được biên bản họp Hội đồng, Cục Quản lý Dược ban hành văn bản phê duyệt nội dung thay đổi, bổ sung giấy đăng ký lưu hành đối với hồ sơ đạt yêu cầu; văn bản trả lời theo kết luận của Hội đồng đối với hồ sơ thẩm định chưa đạt, không đạt.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1.500.000 Đồng</w:t>
            </w:r>
          </w:p>
        </w:tc>
        <w:tc>
          <w:p/>
          <w:p>
            <w:pPr>
              <w:spacing w:after="0" w:before="0" w:lineRule="auto" w:line="276"/>
              <w:jc w:val="left"/>
            </w:pPr>
            <w:r>
              <w:rPr>
                <w:rFonts w:ascii="Times New Roman" w:hAnsi="Times New Roman" w:cs="Times New Roman" w:eastAsia="Times New Roman"/>
                <w:b w:val="false"/>
                <w:sz w:val="26"/>
              </w:rPr>
              <w:t>Trường hợp hồ sơ thay đổi nhỏ chỉ yêu cầu thông báo: không quá 20 ngày.
Trường hợp hồ sơ thay đổi bổ sung không thuộc trường hợp trên: không quá 03 tháng.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1.500.000 Đồng</w:t>
            </w:r>
          </w:p>
        </w:tc>
        <w:tc>
          <w:p/>
          <w:p>
            <w:pPr>
              <w:spacing w:after="0" w:before="0" w:lineRule="auto" w:line="276"/>
              <w:jc w:val="left"/>
            </w:pPr>
            <w:r>
              <w:rPr>
                <w:rFonts w:ascii="Times New Roman" w:hAnsi="Times New Roman" w:cs="Times New Roman" w:eastAsia="Times New Roman"/>
                <w:b w:val="false"/>
                <w:sz w:val="26"/>
              </w:rPr>
              <w:t>Trường hợp hồ sơ thay đổi nhỏ chỉ yêu cầu thông báo: không quá 20 ngày.
Trường hợp hồ sơ thay đổi bổ sung không thuộc trường hợp trên: không quá 03 tháng.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1.500.000 Đồng</w:t>
            </w:r>
          </w:p>
        </w:tc>
        <w:tc>
          <w:p/>
          <w:p>
            <w:pPr>
              <w:spacing w:after="0" w:before="0" w:lineRule="auto" w:line="276"/>
              <w:jc w:val="left"/>
            </w:pPr>
            <w:r>
              <w:rPr>
                <w:rFonts w:ascii="Times New Roman" w:hAnsi="Times New Roman" w:cs="Times New Roman" w:eastAsia="Times New Roman"/>
                <w:b w:val="false"/>
                <w:sz w:val="26"/>
              </w:rPr>
              <w:t>Trường hợp hồ sơ thay đổi nhỏ chỉ yêu cầu thông báo: không quá 20 ngày.
Trường hợp hồ sơ thay đổi bổ sung không thuộc trường hợp trên: không quá 03 tháng.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thay đổi, bổ sung giấy đăng ký lưu hành thuốc, nguyên liệu làm thuốc theo Mẫu 4C/TT ban hành kèm theo Thông tư số 12/2025/TT-BYT và giấy ủy quyền ký tên trên hồ sơ đăng ký (nếu có).</w:t>
            </w:r>
          </w:p>
        </w:tc>
        <w:tc>
          <w:p/>
          <w:p>
            <w:pPr>
              <w:spacing w:after="0" w:before="0" w:lineRule="auto" w:line="276"/>
              <w:jc w:val="left"/>
            </w:pPr>
            <w:r>
              <w:rPr>
                <w:rFonts w:ascii="Times New Roman" w:hAnsi="Times New Roman" w:cs="Times New Roman" w:eastAsia="Times New Roman"/>
                <w:b w:val="false"/>
                <w:sz w:val="26"/>
              </w:rPr>
              <w:t>Mu01.docx</w:t>
            </w:r>
          </w:p>
          <w:p>
            <w:pPr>
              <w:spacing w:after="0" w:before="0" w:lineRule="auto" w:line="276"/>
              <w:jc w:val="left"/>
            </w:pPr>
            <w:r>
              <w:rPr>
                <w:rFonts w:ascii="Times New Roman" w:hAnsi="Times New Roman" w:cs="Times New Roman" w:eastAsia="Times New Roman"/>
                <w:b w:val="false"/>
                <w:sz w:val="26"/>
              </w:rPr>
              <w:t>MU4C.docx</w:t>
            </w:r>
          </w:p>
          <w:p>
            <w:pPr>
              <w:spacing w:after="0" w:before="0" w:lineRule="auto" w:line="276"/>
              <w:jc w:val="left"/>
            </w:pPr>
            <w:r>
              <w:rPr>
                <w:rFonts w:ascii="Times New Roman" w:hAnsi="Times New Roman" w:cs="Times New Roman" w:eastAsia="Times New Roman"/>
                <w:b w:val="false"/>
                <w:sz w:val="26"/>
              </w:rPr>
              <w:t>MU4D.docx</w:t>
            </w:r>
          </w:p>
          <w:p>
            <w:pPr>
              <w:spacing w:after="0" w:before="0" w:lineRule="auto" w:line="276"/>
              <w:jc w:val="left"/>
            </w:pPr>
            <w:r>
              <w:rPr>
                <w:rFonts w:ascii="Times New Roman" w:hAnsi="Times New Roman" w:cs="Times New Roman" w:eastAsia="Times New Roman"/>
                <w:b w:val="false"/>
                <w:sz w:val="26"/>
              </w:rPr>
              <w:t>MU11.docx</w:t>
            </w:r>
          </w:p>
          <w:p>
            <w:pPr>
              <w:spacing w:after="0" w:before="0" w:lineRule="auto" w:line="276"/>
              <w:jc w:val="left"/>
            </w:pPr>
            <w:r>
              <w:rPr>
                <w:rFonts w:ascii="Times New Roman" w:hAnsi="Times New Roman" w:cs="Times New Roman" w:eastAsia="Times New Roman"/>
                <w:b w:val="false"/>
                <w:sz w:val="26"/>
              </w:rPr>
              <w:t>MU10.docx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Các tài liệu tương ứng với các nội dung thay đổi lớn, thay đổi nhỏ quy định tại Phụ lục II ban hành kèm theo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Đối với các thay đổi liên quan đến hồ sơ kỹ thuật của thuốc gia công, thuốc chuyển giao công nghệ được công bố đáp ứng tiêu chí tại khoản 1 Điều 9 Thông tư số 12/2025/TT-BYT, cơ sở đăng ký thuốc gia công hoặc cơ sở đăng ký thuốc chuyển giao công nghệ phải cung cấp bằng chứng về việc các nội dung thay đổi đối với thuốc đặt gia công hoặc thuốc trước chuyển giao công nghệ đang được sản xuất, lưu hành ở nước sở tại đã được phê duyệt bởi cơ quan quản lý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 nội dung thay đổi, bổ sung giấy đăng ký lưu hành, Văn bản thông báo cho cơ sở đăng ký thuốc theo kết luận của Hội đồng đối với hồ sơ chưa đạt, không đạt, Công bố trên trang thông tin điện tử của Cục Quản lý Dược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105/2016/QH13 Dược</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số 44/2024/QH15</w:t>
            </w:r>
          </w:p>
        </w:tc>
        <w:tc>
          <w:p/>
          <w:p>
            <w:pPr>
              <w:spacing w:after="0" w:before="0" w:lineRule="auto" w:line="276"/>
              <w:jc w:val="left"/>
            </w:pPr>
            <w:r>
              <w:rPr>
                <w:rFonts w:ascii="Times New Roman" w:hAnsi="Times New Roman" w:cs="Times New Roman" w:eastAsia="Times New Roman"/>
                <w:b w:val="false"/>
                <w:sz w:val="26"/>
              </w:rPr>
              <w:t>21-11-2024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12/2025/TT-BYT</w:t>
            </w:r>
          </w:p>
        </w:tc>
        <w:tc>
          <w:p/>
          <w:p>
            <w:pPr>
              <w:spacing w:after="0" w:before="0" w:lineRule="auto" w:line="276"/>
              <w:jc w:val="left"/>
            </w:pPr>
            <w:r>
              <w:rPr>
                <w:rFonts w:ascii="Times New Roman" w:hAnsi="Times New Roman" w:cs="Times New Roman" w:eastAsia="Times New Roman"/>
                <w:b w:val="false"/>
                <w:sz w:val="26"/>
              </w:rPr>
              <w:t>Thông tư của Bộ trưởng Bộ Y tế</w:t>
            </w:r>
          </w:p>
        </w:tc>
        <w:tc>
          <w:p/>
          <w:p>
            <w:pPr>
              <w:spacing w:after="0" w:before="0" w:lineRule="auto" w:line="276"/>
              <w:jc w:val="left"/>
            </w:pPr>
            <w:r>
              <w:rPr>
                <w:rFonts w:ascii="Times New Roman" w:hAnsi="Times New Roman" w:cs="Times New Roman" w:eastAsia="Times New Roman"/>
                <w:b w:val="false"/>
                <w:sz w:val="26"/>
              </w:rPr>
              <w:t>16-05-2025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Khoản 3 Điều 55 Luật Dược: 
Thay đổi, bổ sung giấy đăng ký lưu hành thuốc, nguyên liệu làm thuốc đã được cấp tại Việt Nam có các thay đổi trong thời hạn hiệu lực, trừ trường hợp quy định tại điểm b và điểm c khoản 2 Điều 55 Luật Dược, cụ thể:
+ Thuốc đã được cấp giấy đăng ký lưu hành nhưng có thay đổi, bổ sung về dược chất, dược liệu; hàm lượng, nồng độ, khối lượng dược chất hoặc dược liệu trong một đơn vị liều; dạng bào chế; cơ sở sản xuất, trừ trường hợp thay đổi, bổ sung cơ sở đóng gói, cơ sở xuất xưởng, địa điểm xuất xưởng;
+ Nguyên liệu làm thuốc đã được cấp giấy đăng ký lưu hành nhưng có thay đổi, bổ sung về cơ sở sản xuất, trừ trường hợp thay đổi, bổ sung cơ sở đóng gói, cơ sở xuất xưởng, địa điểm xuất xưởng.
2. Điều 17 Thông tư số 12/2025/TT-BYT: Quy định về xác minh tính xác thực của giấy tờ pháp lý trong hồ sơ đề nghị thay đổi, bổ sung giấy đăng ký lưu hành
2.1. Xác minh tính xác thực của CPP trong hồ sơ đề nghị cấp, gia hạn, thay đổi, bổ sung giấy đăng ký lưu hành đối với các trường hợp sau:
a) CPP có nội dung bị tẩy xóa, sửa chữa thông tin;
b) Cơ sở sản xuất, cơ sở đăng ký đã bị cơ quan có thẩm quyền của Việt Nam xử phạt hành chính do vi phạm điểm q khoản 2 Điều 42 Luật Dược. Thời hạn áp dụng việc xác minh tính xác thực CPP là 03 năm kể từ ngày có quyết định xử phạt hành chính hoặc từ ngày kết thúc thời hạn tạm ngừng nhận hồ sơ cấp, gia hạn giấy đăng ký lưu hành nếu có áp dụng biện pháp tạm ngừng nhận hồ sơ cấp, gia hạn giấy đăng ký lưu hành;
c) Cơ sở sản xuất lần đầu tiên có thuốc đăng ký lưu hành tại Việt Nam, bao gồm cả trường hợp cơ sở chỉ tham gia một hoặc một số công đoạn của quá trình sản xuất; 
d) CPP là bản điện tử của cơ quan có thẩm quyền các nước nhưng khi thẩm định hồ sơ không tra cứu được từ trang thông tin điện tử hoặc cơ sở dữ liệu mà cơ sở đăng ký cung cấp;
đ) Các trường hợp do Hội đồng yêu cầu thực hiện việc xác thực.
2.2. Xác minh tính xác thực của giấy tờ pháp lý tại hồ sơ đăng ký thuốc, nguyên liệu làm thuốc trong một số trường hợp khác:
a) Đối với cơ sở đăng ký nước ngoài lần đầu có thuốc, nguyên liệu làm thuốc đăng ký lưu hành tại Việt Nam, Cục Quản lý Dược thực hiện xác minh tính xác thực giấy phép sản xuất, kinh doanh thuốc tại nước sở tại;
b) Giấy tờ pháp lý do cơ quan có thẩm quyền nước ngoài cấp chưa đáp ứng theo quy định tại điểm b khoản 1 Điều 22 Thông tư số 12/2025/TT-BYT. 
2.3. Đối với thuốc đã được cấp giấy đăng ký lưu hành, Cục Quản lý Dược thực hiện xác minh tính xác thực của các giấy tờ pháp lý khi tiếp nhận thông tin phản ánh liên quan đến tình trạng cấp phép, lưu hành thuốc ở nước sở tại cần xác minh, làm rõ hoặc thông tin về việc không đáp ứng điều kiện hoạt động của cơ sở sản xuất thuốc, cơ sở đăng ký nước ngoài từ các nguồn thông tin sau:
a) Văn bản gửi đến Cục Quản lý Dược bao gồm đầy đủ tên, địa chỉ của cơ quan, tổ chức, cá nhân gửi; kèm theo tài liệu liên quan đến thông tin phản ánh;
b) Thông tin từ phương tiện thông tin đại chúng.
2.4. Hình thức thực hiện xác minh tính xác thực của CPP và giấy tờ pháp lý nộp trong hồ sơ đăng ký thuốc, nguyên liệu làm thuốc:
a) Xác minh tính xác thực giấy tờ pháp lý liên quan đến hợp pháp hóa lãnh sự: 
Cục Quản lý Dược phối hợp với Cục Lãnh sự - Bộ Ngoại giao hoặc các cơ quan ngoại giao có chức năng hợp pháp hoá lãnh sự của Việt Nam tại nước ngoài để xác minh thẩm quyền, thông tin liên quan đến hợp pháp hóa lãnh sự giấy tờ pháp lý nước ngoài sử dụng tại Việt Nam đối với các trường hợp quy định tại điểm c khoản 1 và điểm a khoản 2 Điều này;
b) Xác minh tính xác thực của nội dung giấy tờ pháp lý: 
Cục Quản lý Dược phối hợp với Cơ quan cấp, ban hành các giấy tờ pháp lý để xác minh các thông tin đã nêu trong các giấy tờ nêu trên đối với các trường hợp quy định tại điểm a, b, d và đ khoản 1 và điểm b khoản 2 Điều này;
c) Việc xác minh tính xác thực giấy tờ pháp lý được thực hiện đồng thời với thủ tục thẩm định hồ sơ đăng ký thuốc, nguyên liệu làm thuốc hoặc khi tiếp nhận thông tin theo quy định tại khoản 3 Điều này;
d) Văn bản đề nghị xác minh tính xác thực giấy tờ pháp lý được gửi đồng thời cho cơ sở đăng ký thuốc. 
2.5. Đối với hồ sơ đề nghị gia hạn, thay đổi, bổ sung giấy đăng ký lưu hành thuốc, nguyên liệu làm thuốc có giấy tờ pháp lý phải xác minh tính xác thực theo quy định tại khoản 1 và khoản 2 Điều này, không bắt buộc phải có kết quả xác minh tính xác thực trước thời điểm gia hạn hoặc thay đổi, bổ sung giấy đăng ký lưu hành thuốc, nguyên liệu làm thuốc.
3. Điều 22 Thông tư số 12/2025/TT-BYT: Quy định chung đối với tài liệu hành chính
3.1. Giấy tờ pháp lý trong hồ sơ phải đáp ứng các quy định sau:
a) Giấy tờ pháp lý nộp trong hồ sơ đăng ký thuốc, nguyên liệu làm thuốc phải là bản chính hoặc bản sao theo quy định tại Nghị định số 23/2015/NĐ-CP ngày 16 tháng 02 năm 2015 của Chính phủ về cấp bản sao từ sổ gốc, chứng thực bản sao từ bản chính, chứng thực chữ ký và chứng thực hợp đồng, giao dịch. Giấy tờ pháp lý do cơ quan có thẩm quyền nước ngoài cấp phải được hợp pháp hóa lãnh sự theo quy định của pháp luật về hợp pháp hóa lãnh sự, trừ các trường hợp được miễn theo quy định của pháp luật;
b) Giấy tờ pháp lý có đầy đủ chữ ký, tên người ký, ngày cấp và dấu của cơ quan có thẩm quyền của nước cấp, trừ trường hợp giấy tờ pháp lý không có đủ các thông tin này theo quy định của nước cấp là hợp lệ;
c) Trường hợp giấy tờ pháp lý được cấp là bản điện tử (chấp nhận bản không có chữ ký, tên người ký hoặc dấu của cơ quan có thẩm quyền cấp giấy tờ pháp lý), cơ sở đăng ký phải nộp một trong các giấy tờ sau:
- Giấy tờ pháp lý in từ trang thông tin điện tử hoặc cơ sở dữ liệu của cơ quan có thẩm quyền cấp giấy tờ pháp lý hoặc trên trang thông tin điện tử do cơ quan có thẩm quyền nước sở tại hoặc cơ quan cấp khu vực vận hành;
- Kết quả tự tra cứu giấy tờ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 
d) Giấy tờ pháp lý phải còn hiệu lực tại thời điểm tiếp nhận ghi trên Giấy tiếp nhận hồ sơ đối với giấy tờ pháp lý có ghi thời hạn hiệu lực. Trường hợp CPP không ghi thời hạn hiệu lực thì thời hạn hiệu lực được tính là 24 tháng kể từ ngày cấp.
3.2.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một trong chức danh sau:
- Chủ tịch Hội đồng thành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ký.
3.3. Quy định đối với thư ủy quyền:
a) Thư ủy quyền đứng tên cơ sở đăng ký phải là bản chính có đầy đủ các nội dung sau:
- Tên và địa chỉ chủ sở hữu giấy phép lưu hành hoặc cơ sở sản xuất ủy quyền;
- Tên và địa chỉ cơ sở đăng ký được ủy quyền;
- Tên thuốc; nồng độ, hàm lượng dược chất; dạng bào chế;
- Nội dung ủy quyền. 
Trong trường hợp ủy quyền nhiều thuốc, thư ủy quyền phải kèm theo danh mục thuốc có đầy đủ thông tin quy định tại tiết 3 điểm này; 
b) Thư ủy quyền ký tên trên hồ sơ đăng ký thuốc, nguyên liệu làm thuốc phải là bản chính có đầy đủ các nội dung sau:
- Tên và địa chỉ cơ sở đăng ký;
- Tên và chức danh người ủy quyền và người được ủy quyền;
- Tên thuốc; nồng độ, hàm lượng dược chất; dạng bào chế;
- Nội dung ủy quyền;
- Hiệu lực của thư ủy quyền.
Trong trường hợp ủy quyền nhiều thuốc, thư ủy quyền phải kèm theo danh mục thuốc có đầy đủ thông tin quy định tại tiết 3 điểm này;
c) Số lượng thư ủy quyền trong hồ sơ đăng ký thuốc, nguyên liệu làm thuốc:
- Trường hợp cơ sở đăng ký khác cơ sở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này, mỗi hồ sơ phải nộp kèm một thư ủy quyền ký tên trên hồ sơ đăng ký thuốc, nguyên liệu làm thuốc.
4. Đáp ứng điều kiện quy định tại Phụ lục II Thông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2025-12-02T12:19:27Z</dcterms:created>
  <dc:creator>Apache POI</dc:creator>
</cp:coreProperties>
</file>