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1.013741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1983/QĐ-BYT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Thu hồi giấy đăng ký lưu hành thuốc, nguyên liệu làm thuốc trong trường hợp cơ sở sản xuất hoặc cơ sở đăng ký thuốc, nguyên liệu làm thuốc đề nghị thu hồi giấy đăng ký lưu hành thuốc, nguyên liệu làm thuốc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Dược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nộp Đơn đề nghị thu hồi giấy đăng ký lưu hành thuốc, nguyên liệu làm thuốc tại Việt Nam của cơ sở sản xuất hoặc cơ sở đăng ký thuốc theo Mẫu 07/TT ban hành kèm theo Thông tư số 12/2025/TT-BYT.</w:t>
      </w:r>
    </w:p>
    <w:p>
      <w:pPr>
        <w:spacing w:after="0" w:before="0" w:lineRule="auto" w:line="276"/>
        <w:jc w:val="both"/>
      </w:pPr>
      <w:r>
        <w:rPr>
          <w:rFonts w:ascii="Times New Roman" w:hAnsi="Times New Roman" w:cs="Times New Roman" w:eastAsia="Times New Roman"/>
          <w:b w:val="false"/>
          <w:sz w:val="26"/>
        </w:rPr>
        <w:t>Bước 2: Trong thời hạn tối đa 20 ngày kể từ ngày nhận được hồ sơ, Cục Quản lý Dược ra quyết định thu hồi giấy đăng ký lưu hành thuốc, nguyên liệu làm thuốc.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t>Phí :  Đồng</w:t>
              <w:t xml:space="preserve"> (không)</w:t>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t>Phí :  Đồng</w:t>
              <w:t xml:space="preserve"> (không)</w:t>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t>Phí :  Đồng</w:t>
              <w:t xml:space="preserve"> (không)</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thu hồi giấy đăng ký lưu hành thuốc, nguyên liệu làm thuốc tại Việt Nam của cơ sở sản xuất hoặc cơ sở đăng ký thuốc theo Mẫu 07/TT ban hành kèm theo Thông tư số 12/2025/TT-BYT.</w:t>
            </w:r>
          </w:p>
        </w:tc>
        <w:tc>
          <w:p/>
          <w:p>
            <w:pPr>
              <w:spacing w:after="0" w:before="0" w:lineRule="auto" w:line="276"/>
              <w:jc w:val="left"/>
            </w:pPr>
            <w:r>
              <w:rPr>
                <w:rFonts w:ascii="Times New Roman" w:hAnsi="Times New Roman" w:cs="Times New Roman" w:eastAsia="Times New Roman"/>
                <w:b w:val="false"/>
                <w:sz w:val="26"/>
              </w:rPr>
              <w:t>Mu7.docx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Dược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thu hồi giấy đăng ký lưu hành.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105/2016/QH13</w:t>
            </w:r>
          </w:p>
        </w:tc>
        <w:tc>
          <w:p/>
          <w:p>
            <w:pPr>
              <w:spacing w:after="0" w:before="0" w:lineRule="auto" w:line="276"/>
              <w:jc w:val="left"/>
            </w:pPr>
            <w:r>
              <w:rPr>
                <w:rFonts w:ascii="Times New Roman" w:hAnsi="Times New Roman" w:cs="Times New Roman" w:eastAsia="Times New Roman"/>
                <w:b w:val="false"/>
                <w:sz w:val="26"/>
              </w:rPr>
              <w:t>105/2016/QH13 Dược</w:t>
            </w:r>
          </w:p>
        </w:tc>
        <w:tc>
          <w:p/>
          <w:p>
            <w:pPr>
              <w:spacing w:after="0" w:before="0" w:lineRule="auto" w:line="276"/>
              <w:jc w:val="left"/>
            </w:pPr>
            <w:r>
              <w:rPr>
                <w:rFonts w:ascii="Times New Roman" w:hAnsi="Times New Roman" w:cs="Times New Roman" w:eastAsia="Times New Roman"/>
                <w:b w:val="false"/>
                <w:sz w:val="26"/>
              </w:rPr>
              <w:t>06-04-2016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44/2024/QH15</w:t>
            </w:r>
          </w:p>
        </w:tc>
        <w:tc>
          <w:p/>
          <w:p>
            <w:pPr>
              <w:spacing w:after="0" w:before="0" w:lineRule="auto" w:line="276"/>
              <w:jc w:val="left"/>
            </w:pPr>
            <w:r>
              <w:rPr>
                <w:rFonts w:ascii="Times New Roman" w:hAnsi="Times New Roman" w:cs="Times New Roman" w:eastAsia="Times New Roman"/>
                <w:b w:val="false"/>
                <w:sz w:val="26"/>
              </w:rPr>
              <w:t>Luật số 44/2024/QH15</w:t>
            </w:r>
          </w:p>
        </w:tc>
        <w:tc>
          <w:p/>
          <w:p>
            <w:pPr>
              <w:spacing w:after="0" w:before="0" w:lineRule="auto" w:line="276"/>
              <w:jc w:val="left"/>
            </w:pPr>
            <w:r>
              <w:rPr>
                <w:rFonts w:ascii="Times New Roman" w:hAnsi="Times New Roman" w:cs="Times New Roman" w:eastAsia="Times New Roman"/>
                <w:b w:val="false"/>
                <w:sz w:val="26"/>
              </w:rPr>
              <w:t>21-11-2024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12/2025/TT-BYT</w:t>
            </w:r>
          </w:p>
        </w:tc>
        <w:tc>
          <w:p/>
          <w:p>
            <w:pPr>
              <w:spacing w:after="0" w:before="0" w:lineRule="auto" w:line="276"/>
              <w:jc w:val="left"/>
            </w:pPr>
            <w:r>
              <w:rPr>
                <w:rFonts w:ascii="Times New Roman" w:hAnsi="Times New Roman" w:cs="Times New Roman" w:eastAsia="Times New Roman"/>
                <w:b w:val="false"/>
                <w:sz w:val="26"/>
              </w:rPr>
              <w:t>Thông tư của Bộ trưởng Bộ Y tế</w:t>
            </w:r>
          </w:p>
        </w:tc>
        <w:tc>
          <w:p/>
          <w:p>
            <w:pPr>
              <w:spacing w:after="0" w:before="0" w:lineRule="auto" w:line="276"/>
              <w:jc w:val="left"/>
            </w:pPr>
            <w:r>
              <w:rPr>
                <w:rFonts w:ascii="Times New Roman" w:hAnsi="Times New Roman" w:cs="Times New Roman" w:eastAsia="Times New Roman"/>
                <w:b w:val="false"/>
                <w:sz w:val="26"/>
              </w:rPr>
              <w:t>16-05-2025</w:t>
            </w:r>
          </w:p>
        </w:tc>
        <w:tc>
          <w:p/>
          <w:p>
            <w:pPr>
              <w:spacing w:after="0" w:before="0" w:lineRule="auto" w:line="276"/>
              <w:jc w:val="left"/>
            </w:pPr>
            <w:r>
              <w:rPr>
                <w:rFonts w:ascii="Times New Roman" w:hAnsi="Times New Roman" w:cs="Times New Roman" w:eastAsia="Times New Roman"/>
                <w:b w:val="false"/>
                <w:sz w:val="26"/>
              </w:rPr>
              <w:t>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22 Thông tư số 12/2025/TT-BYT: Quy định đối với đơn đăng ký và hồ sơ, tài liệu hành chính khác:
a) Đơn đăng ký và hồ sơ, tài liệu khác trong phần hồ sơ hành chính có liên quan phải được ký và đóng dấu (chấp nhận cả chữ ký số), không sử dụng chữ ký dấu; 
b) Các tài liệu trên phải được ký bởi một trong chức danh sau:
- Chủ tịch Hội đồng thành viên, hội đồng quản trị; tổng giám đốc; giám đốc điều hành; giám đốc cơ sở đăng ký, sản xuất;
- Người được phân công theo quy định tại điều lệ công ty, văn bản phân công công việc hoặc tài liệu khác chứng minh về thẩm quyền ký của người ký;
- Người được những người quy định tại tiết 1 hoặc tiết 2 điểm này ủy quyền trực tiếp ký.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https://thutuc.dichvucong.gov.vn/p/home/dvc-tthc-thu-tuc-hanh-chinh-chi-tiet.html?ma_thu_tuc=383771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2025-12-02T12:19:28Z</dcterms:created>
  <dc:creator>Apache POI</dc:creator>
</cp:coreProperties>
</file>