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1.013847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2495/QĐ-BYT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Sửa đổi, bổ sung, cấp lại giấy chứng nhận lưu hành tự do đối với sản phẩm thực phẩm xuất khẩu thuộc quyền quản lý của Bộ Y tế (CFS).</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An toàn thực phẩm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Nộp hồ sơ đến Cơ quan chuyên môn về y tế thuộc Ủy ban nhân dân cấp tỉnh hoặc cơ quan chuyên môn được Ủy ban nhân dân cấp tỉnh giao nhiệm vụ qua hệ thống dịch vụ công trực tuyến hoặc nộp trực tiếp hoặc qua bưu chính công ích</w:t>
      </w:r>
    </w:p>
    <w:p>
      <w:pPr>
        <w:spacing w:after="0" w:before="0" w:lineRule="auto" w:line="276"/>
        <w:jc w:val="both"/>
      </w:pPr>
      <w:r>
        <w:rPr>
          <w:rFonts w:ascii="Times New Roman" w:hAnsi="Times New Roman" w:cs="Times New Roman" w:eastAsia="Times New Roman"/>
          <w:b w:val="false"/>
          <w:sz w:val="26"/>
        </w:rPr>
        <w:t>-	Trong thời hạn 3 ngày làm việc, kể từ ngày nhận được hồ sơ đầy đủ, đúng quy định, cơ quan tiếp nhận hồ sơ xem xét điều chỉnh, cấp lại CFS</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t>Phí : 500.000 Đồng</w:t>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t>Phí : 500.000 Đồng</w:t>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t>Phí : 500.000 Đồng</w:t>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sửa đổi, bổ sung/ cấp lại CFS: 1 bản chính. Văn bản đề nghị cấp CFS nêu rõ tên hàng, mã HS của hàng hóa, số chứng nhận tiêu chuẩn sản phẩm hoặc số đăng ký, số hiệu tiêu chuẩn (nếu có), thành phần hàm lượng hợp chất (nếu có), nước nhập khẩu hàng hóa: 1 bản chính, thể hiện bằng tiếng Việt và tiếng Anh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Các giấy tờ liên quan đến việc sửa đổi, bổ sung/ cấp lại CFS</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Số lượng hồ sơ: một bộ</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Y tế, Sở An toàn thực phẩm - TP.HCM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 Giấy chứng nhận lưu hành tự do (CFS).</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69/2018/NĐ-CP</w:t>
            </w:r>
          </w:p>
        </w:tc>
        <w:tc>
          <w:p/>
          <w:p>
            <w:pPr>
              <w:spacing w:after="0" w:before="0" w:lineRule="auto" w:line="276"/>
              <w:jc w:val="left"/>
            </w:pPr>
            <w:r>
              <w:rPr>
                <w:rFonts w:ascii="Times New Roman" w:hAnsi="Times New Roman" w:cs="Times New Roman" w:eastAsia="Times New Roman"/>
                <w:b w:val="false"/>
                <w:sz w:val="26"/>
              </w:rPr>
              <w:t>Nghị định 69/2018/NĐ-CP</w:t>
            </w:r>
          </w:p>
        </w:tc>
        <w:tc>
          <w:p/>
          <w:p>
            <w:pPr>
              <w:spacing w:after="0" w:before="0" w:lineRule="auto" w:line="276"/>
              <w:jc w:val="left"/>
            </w:pPr>
            <w:r>
              <w:rPr>
                <w:rFonts w:ascii="Times New Roman" w:hAnsi="Times New Roman" w:cs="Times New Roman" w:eastAsia="Times New Roman"/>
                <w:b w:val="false"/>
                <w:sz w:val="26"/>
              </w:rPr>
              <w:t>15-05-2018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55/2010/QH12</w:t>
            </w:r>
          </w:p>
        </w:tc>
        <w:tc>
          <w:p/>
          <w:p>
            <w:pPr>
              <w:spacing w:after="0" w:before="0" w:lineRule="auto" w:line="276"/>
              <w:jc w:val="left"/>
            </w:pPr>
            <w:r>
              <w:rPr>
                <w:rFonts w:ascii="Times New Roman" w:hAnsi="Times New Roman" w:cs="Times New Roman" w:eastAsia="Times New Roman"/>
                <w:b w:val="false"/>
                <w:sz w:val="26"/>
              </w:rPr>
              <w:t>Luật An toàn thực phẩm</w:t>
            </w:r>
          </w:p>
        </w:tc>
        <w:tc>
          <w:p/>
          <w:p>
            <w:pPr>
              <w:spacing w:after="0" w:before="0" w:lineRule="auto" w:line="276"/>
              <w:jc w:val="left"/>
            </w:pPr>
            <w:r>
              <w:rPr>
                <w:rFonts w:ascii="Times New Roman" w:hAnsi="Times New Roman" w:cs="Times New Roman" w:eastAsia="Times New Roman"/>
                <w:b w:val="false"/>
                <w:sz w:val="26"/>
              </w:rPr>
              <w:t>17-06-2010</w:t>
            </w:r>
          </w:p>
        </w:tc>
        <w:tc>
          <w:p/>
        </w:tc>
      </w:tr>
      <w:tr>
        <w:tc>
          <w:p/>
          <w:p>
            <w:pPr>
              <w:spacing w:after="0" w:before="0" w:lineRule="auto" w:line="276"/>
              <w:jc w:val="left"/>
            </w:pPr>
            <w:r>
              <w:rPr>
                <w:rFonts w:ascii="Times New Roman" w:hAnsi="Times New Roman" w:cs="Times New Roman" w:eastAsia="Times New Roman"/>
                <w:b w:val="false"/>
                <w:sz w:val="26"/>
              </w:rPr>
              <w:t>67/2021/TT-BTC</w:t>
            </w:r>
          </w:p>
        </w:tc>
        <w:tc>
          <w:p/>
          <w:p>
            <w:pPr>
              <w:spacing w:after="0" w:before="0" w:lineRule="auto" w:line="276"/>
              <w:jc w:val="left"/>
            </w:pPr>
            <w:r>
              <w:rPr>
                <w:rFonts w:ascii="Times New Roman" w:hAnsi="Times New Roman" w:cs="Times New Roman" w:eastAsia="Times New Roman"/>
                <w:b w:val="false"/>
                <w:sz w:val="26"/>
              </w:rPr>
              <w:t>Thông tư 67/2021/TT-BTC</w:t>
            </w:r>
          </w:p>
        </w:tc>
        <w:tc>
          <w:p/>
          <w:p>
            <w:pPr>
              <w:spacing w:after="0" w:before="0" w:lineRule="auto" w:line="276"/>
              <w:jc w:val="left"/>
            </w:pPr>
            <w:r>
              <w:rPr>
                <w:rFonts w:ascii="Times New Roman" w:hAnsi="Times New Roman" w:cs="Times New Roman" w:eastAsia="Times New Roman"/>
                <w:b w:val="false"/>
                <w:sz w:val="26"/>
              </w:rPr>
              <w:t>05-08-2021</w:t>
            </w:r>
          </w:p>
        </w:tc>
        <w:tc>
          <w:p/>
        </w:tc>
      </w:tr>
      <w:tr>
        <w:tc>
          <w:p/>
          <w:p>
            <w:pPr>
              <w:spacing w:after="0" w:before="0" w:lineRule="auto" w:line="276"/>
              <w:jc w:val="left"/>
            </w:pPr>
            <w:r>
              <w:rPr>
                <w:rFonts w:ascii="Times New Roman" w:hAnsi="Times New Roman" w:cs="Times New Roman" w:eastAsia="Times New Roman"/>
                <w:b w:val="false"/>
                <w:sz w:val="26"/>
              </w:rPr>
              <w:t>148/2025/NĐ-CP</w:t>
            </w:r>
          </w:p>
        </w:tc>
        <w:tc>
          <w:p/>
          <w:p>
            <w:pPr>
              <w:spacing w:after="0" w:before="0" w:lineRule="auto" w:line="276"/>
              <w:jc w:val="left"/>
            </w:pPr>
            <w:r>
              <w:rPr>
                <w:rFonts w:ascii="Times New Roman" w:hAnsi="Times New Roman" w:cs="Times New Roman" w:eastAsia="Times New Roman"/>
                <w:b w:val="false"/>
                <w:sz w:val="26"/>
              </w:rPr>
              <w:t>NGHỊ ĐỊNH  QUY ĐỊNH VỀ PHÂN QUYỀN, PHÂN CẤP TRONG LĨNH VỰC Y TẾ</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64/2025/TT-BTC</w:t>
            </w:r>
          </w:p>
        </w:tc>
        <w:tc>
          <w:p/>
          <w:p>
            <w:pPr>
              <w:spacing w:after="0" w:before="0" w:lineRule="auto" w:line="276"/>
              <w:jc w:val="left"/>
            </w:pPr>
            <w:r>
              <w:rPr>
                <w:rFonts w:ascii="Times New Roman" w:hAnsi="Times New Roman" w:cs="Times New Roman" w:eastAsia="Times New Roman"/>
                <w:b w:val="false"/>
                <w:sz w:val="26"/>
              </w:rPr>
              <w:t>Thông tư số 64/2025/TT-BTC ngày 30/6/2025 của Bộ trưởng Bộ Tài chính quy định mức thu, miễn một số khoản phí, lệ phí nhằm hỗ trợ doanh nghiệp, người dân</w:t>
            </w:r>
          </w:p>
        </w:tc>
        <w:tc>
          <w:p/>
          <w:p>
            <w:pPr>
              <w:spacing w:after="0" w:before="0" w:lineRule="auto" w:line="276"/>
              <w:jc w:val="left"/>
            </w:pPr>
            <w:r>
              <w:rPr>
                <w:rFonts w:ascii="Times New Roman" w:hAnsi="Times New Roman" w:cs="Times New Roman" w:eastAsia="Times New Roman"/>
                <w:b w:val="false"/>
                <w:sz w:val="26"/>
              </w:rPr>
              <w:t>30-06-2025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Văn bản đề nghị sửa đổi, bổ sung/ cấp lại CFS: 1 bản chính. Văn bản đề nghị cấp CFS nêu rõ tên hàng, mã HS của hàng hóa, số chứng nhận tiêu chuẩn sản
phẩm hoặc số đăng ký, số hiệu tiêu chuẩn (nếu có), thành phần hàm lượng hợp chất (nếu có), nước nhập khẩu hàng hóa
2.	Cấp lại trong trường hợp mất, thất lạc CFS</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https://thutuc.dichvucong.gov.vn/p/home/dvc-tthc-thu-tuc-hanh-chinh-chi-tiet.html?ma_thu_tuc=384505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2025-12-02T12:20:19Z</dcterms:created>
  <dc:creator>Apache POI</dc:creator>
</cp:coreProperties>
</file>