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1.013851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2495/QĐ-BYT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nội dung quảng cáo đối với thực phẩm dinh dưỡng y học, thực phẩm dùng cho chế độ ăn đặc biệt, sản phẩm dinh dƣỡng dùng cho trẻ đến 36 tháng tuổi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thực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có sản phẩm quảng cáo gửi hồ sơ đăng ký xác nhận nội dung quảng cáo đến cơ quan chuyên môn về y tế thuộc Uỷ ban nhân dân cấp tỉnh hoặc cơ quan chuyên môn được Ủy ban nhân tỉnh giao nhiệm vụ</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đủ hồ sơ hợp lệ, cơ quan tiếp nhận hồ sơ có trách nhiệm xem xét hồ sơ và trả kết quả theo Mẫu số 11 Phụ lục I ban hành kèm theo Nghị định 15/2018/NĐ-CP. Thời hạn này được tính từ ngày đóng dấu đến của cơ quan tiếp nhận hồ sơ nếu hồ sơ được gửi qua đường bưu điện hoặc ngày hồ sơ hoàn chỉnh được tiếp nhận trên hệ thống dịch vụ công trực tuyến</w:t>
      </w:r>
    </w:p>
    <w:p>
      <w:pPr>
        <w:spacing w:after="0" w:before="0" w:lineRule="auto" w:line="276"/>
        <w:jc w:val="both"/>
      </w:pPr>
      <w:r>
        <w:rPr>
          <w:rFonts w:ascii="Times New Roman" w:hAnsi="Times New Roman" w:cs="Times New Roman" w:eastAsia="Times New Roman"/>
          <w:b w:val="false"/>
          <w:sz w:val="26"/>
        </w:rPr>
        <w:t>Trong trường hợp không đồng ý với nội dung quảng cáo của tổ chức, cá nhân hoặc yêu cầu sửa đổi, bổ sung, cơ quan tiếp nhận hồ sơ phải có văn bản nêu rõ lý do và căn cứ pháp lý của việc yêu cầu. Cơ quan tiếp nhận hồ sơ chỉ được yêu cầu sửa đổi, bổ sung 01 lần.
Trong thời hạn 10 ngày làm việc kể từ khi nhận hồ sơ sửa đổi, bổ sung, cơ quan tiếp nhận hồ sơ thẩm định hồ sơ và có văn bản trả lời. Sau 90 ngày làm việc kể từ khi có công văn yêu cầu sửa đổi, bổ sung nếu tổ chức, cá nhân không sửa đổi, bổ sung thì hồ sơ không còn giá trị</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550.000 Đồng</w:t>
              <w:t xml:space="preserve"> (550.000 đồng/lần/sản phẩm)</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550.000 Đồng</w:t>
              <w:t xml:space="preserve"> (550.000 đồng/lần/sản phẩm)</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550.000 Đồng</w:t>
              <w:t xml:space="preserve"> (550.000 đồng/lần/sản phẩm)</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Thành phần hồ sơ: 1.	Đơn đăng ký xác nhận nội dung quảng cáo theo Mẫu số 10 Phụ lục I ban hành kèm theo Nghị định số 15/2018/NĐ-CP ngày 2/2/2018 của Chính phủ quy định chi tiết thi hành một số điều của Luật an toàn thực phẩm 2.	Giấy tiếp nhận đăng ký bản công bố sản phẩm và Bản công bố sản phẩm đã được cơ quan có thẩm quyền xác nhận hoặc Giấy tiếp nhận bản công bố hợp quy/Giấy xác nhận công bố phù hợp quy định an toàn thực phẩm còn hiệu lực (bản sao có xác nhận của tổ chức, cá nhân); 3.	Mẫu nhãn sản phẩm (bản có xác nhận của tổ chức, cá nhân);    	4.	Đối với quảng cáo trên báo nói, báo hình thì phải có kịch bản dự kiến quảng cáo và nội dung dự kiến quảng cáo ghi trong đĩa hình, đĩa âm thanh; đối với quảng cáo trên các phương tiện khác thì phải có ma két (mẫu nội dung) dự kiến quảng cáo (bản có xác nhận của tổ chức, cá nhân); 5.	Đối với nội dung quảng cáo ngoài công dụng, tính năng của sản phẩm ghi trong bản công bố sản phẩm thì phải có tài liệu khoa học chứng minh (bản sao có xác nhận của tổ chức, cá nhân); Các tài liệu trong hồ sơ đăng ký xác nhận nội dung quảng cáo phải được thể hiện bằng tiếng Việt; trường hợp có tài liệu bằng tiếng nước ngoài thì phải được dịch sang tiếng Việt và được công chứng. B. Số lượng hồ sơ: 01 bộ</w:t>
            </w:r>
          </w:p>
        </w:tc>
        <w:tc>
          <w:p/>
          <w:p>
            <w:pPr>
              <w:spacing w:after="0" w:before="0" w:lineRule="auto" w:line="276"/>
              <w:jc w:val="left"/>
            </w:pPr>
            <w:r>
              <w:rPr>
                <w:rFonts w:ascii="Times New Roman" w:hAnsi="Times New Roman" w:cs="Times New Roman" w:eastAsia="Times New Roman"/>
                <w:b w:val="false"/>
                <w:sz w:val="26"/>
              </w:rPr>
              <w:t>Mu.docx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An toàn thực phẩm - TP.HCM, 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Giấy xác nhận nội dung quảng cáo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16/2012/QH13 </w:t>
            </w:r>
          </w:p>
        </w:tc>
        <w:tc>
          <w:p/>
          <w:p>
            <w:pPr>
              <w:spacing w:after="0" w:before="0" w:lineRule="auto" w:line="276"/>
              <w:jc w:val="left"/>
            </w:pPr>
            <w:r>
              <w:rPr>
                <w:rFonts w:ascii="Times New Roman" w:hAnsi="Times New Roman" w:cs="Times New Roman" w:eastAsia="Times New Roman"/>
                <w:b w:val="false"/>
                <w:sz w:val="26"/>
              </w:rPr>
              <w:t>Luật 16/2012/QH13</w:t>
            </w:r>
          </w:p>
        </w:tc>
        <w:tc>
          <w:p/>
          <w:p>
            <w:pPr>
              <w:spacing w:after="0" w:before="0" w:lineRule="auto" w:line="276"/>
              <w:jc w:val="left"/>
            </w:pPr>
            <w:r>
              <w:rPr>
                <w:rFonts w:ascii="Times New Roman" w:hAnsi="Times New Roman" w:cs="Times New Roman" w:eastAsia="Times New Roman"/>
                <w:b w:val="false"/>
                <w:sz w:val="26"/>
              </w:rPr>
              <w:t>21-06-2012</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100/2014/NĐ-CP </w:t>
            </w:r>
          </w:p>
        </w:tc>
        <w:tc>
          <w:p/>
          <w:p>
            <w:pPr>
              <w:spacing w:after="0" w:before="0" w:lineRule="auto" w:line="276"/>
              <w:jc w:val="left"/>
            </w:pPr>
            <w:r>
              <w:rPr>
                <w:rFonts w:ascii="Times New Roman" w:hAnsi="Times New Roman" w:cs="Times New Roman" w:eastAsia="Times New Roman"/>
                <w:b w:val="false"/>
                <w:sz w:val="26"/>
              </w:rPr>
              <w:t>Nghị định 100/2014/NĐ-CP</w:t>
            </w:r>
          </w:p>
        </w:tc>
        <w:tc>
          <w:p/>
          <w:p>
            <w:pPr>
              <w:spacing w:after="0" w:before="0" w:lineRule="auto" w:line="276"/>
              <w:jc w:val="left"/>
            </w:pPr>
            <w:r>
              <w:rPr>
                <w:rFonts w:ascii="Times New Roman" w:hAnsi="Times New Roman" w:cs="Times New Roman" w:eastAsia="Times New Roman"/>
                <w:b w:val="false"/>
                <w:sz w:val="26"/>
              </w:rPr>
              <w:t>06-11-2014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09/2015/TT-BYT</w:t>
            </w:r>
          </w:p>
        </w:tc>
        <w:tc>
          <w:p/>
          <w:p>
            <w:pPr>
              <w:spacing w:after="0" w:before="0" w:lineRule="auto" w:line="276"/>
              <w:jc w:val="left"/>
            </w:pPr>
            <w:r>
              <w:rPr>
                <w:rFonts w:ascii="Times New Roman" w:hAnsi="Times New Roman" w:cs="Times New Roman" w:eastAsia="Times New Roman"/>
                <w:b w:val="false"/>
                <w:sz w:val="26"/>
              </w:rPr>
              <w:t>quy định về xác nhận nội dung quảng cáo đối với sản phẩm, hàng hóa, dịch vụ đặc biệt thuộc lĩnh vực quản lý của Bộ Y tế</w:t>
            </w:r>
          </w:p>
        </w:tc>
        <w:tc>
          <w:p/>
          <w:p>
            <w:pPr>
              <w:spacing w:after="0" w:before="0" w:lineRule="auto" w:line="276"/>
              <w:jc w:val="left"/>
            </w:pPr>
            <w:r>
              <w:rPr>
                <w:rFonts w:ascii="Times New Roman" w:hAnsi="Times New Roman" w:cs="Times New Roman" w:eastAsia="Times New Roman"/>
                <w:b w:val="false"/>
                <w:sz w:val="26"/>
              </w:rPr>
              <w:t>25-05-2015</w:t>
            </w:r>
          </w:p>
        </w:tc>
        <w:tc>
          <w:p/>
        </w:tc>
      </w:tr>
      <w:tr>
        <w:tc>
          <w:p/>
          <w:p>
            <w:pPr>
              <w:spacing w:after="0" w:before="0" w:lineRule="auto" w:line="276"/>
              <w:jc w:val="left"/>
            </w:pPr>
            <w:r>
              <w:rPr>
                <w:rFonts w:ascii="Times New Roman" w:hAnsi="Times New Roman" w:cs="Times New Roman" w:eastAsia="Times New Roman"/>
                <w:b w:val="false"/>
                <w:sz w:val="26"/>
              </w:rPr>
              <w:t>55/2010/QH12</w:t>
            </w:r>
          </w:p>
        </w:tc>
        <w:tc>
          <w:p/>
          <w:p>
            <w:pPr>
              <w:spacing w:after="0" w:before="0" w:lineRule="auto" w:line="276"/>
              <w:jc w:val="left"/>
            </w:pPr>
            <w:r>
              <w:rPr>
                <w:rFonts w:ascii="Times New Roman" w:hAnsi="Times New Roman" w:cs="Times New Roman" w:eastAsia="Times New Roman"/>
                <w:b w:val="false"/>
                <w:sz w:val="26"/>
              </w:rPr>
              <w:t>Luật An toàn thực phẩm</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15/2018/NĐ-CP</w:t>
            </w:r>
          </w:p>
        </w:tc>
        <w:tc>
          <w:p/>
          <w:p>
            <w:pPr>
              <w:spacing w:after="0" w:before="0" w:lineRule="auto" w:line="276"/>
              <w:jc w:val="left"/>
            </w:pPr>
            <w:r>
              <w:rPr>
                <w:rFonts w:ascii="Times New Roman" w:hAnsi="Times New Roman" w:cs="Times New Roman" w:eastAsia="Times New Roman"/>
                <w:b w:val="false"/>
                <w:sz w:val="26"/>
              </w:rPr>
              <w:t>Nghị định 15/2018/NĐ-CP</w:t>
            </w:r>
          </w:p>
        </w:tc>
        <w:tc>
          <w:p/>
          <w:p>
            <w:pPr>
              <w:spacing w:after="0" w:before="0" w:lineRule="auto" w:line="276"/>
              <w:jc w:val="left"/>
            </w:pPr>
            <w:r>
              <w:rPr>
                <w:rFonts w:ascii="Times New Roman" w:hAnsi="Times New Roman" w:cs="Times New Roman" w:eastAsia="Times New Roman"/>
                <w:b w:val="false"/>
                <w:sz w:val="26"/>
              </w:rPr>
              <w:t>02-02-2018</w:t>
            </w:r>
          </w:p>
        </w:tc>
        <w:tc>
          <w:p/>
        </w:tc>
      </w:tr>
      <w:tr>
        <w:tc>
          <w:p/>
          <w:p>
            <w:pPr>
              <w:spacing w:after="0" w:before="0" w:lineRule="auto" w:line="276"/>
              <w:jc w:val="left"/>
            </w:pPr>
            <w:r>
              <w:rPr>
                <w:rFonts w:ascii="Times New Roman" w:hAnsi="Times New Roman" w:cs="Times New Roman" w:eastAsia="Times New Roman"/>
                <w:b w:val="false"/>
                <w:sz w:val="26"/>
              </w:rPr>
              <w:t>181/2013/NĐ-CP</w:t>
            </w:r>
          </w:p>
        </w:tc>
        <w:tc>
          <w:p/>
          <w:p>
            <w:pPr>
              <w:spacing w:after="0" w:before="0" w:lineRule="auto" w:line="276"/>
              <w:jc w:val="left"/>
            </w:pPr>
            <w:r>
              <w:rPr>
                <w:rFonts w:ascii="Times New Roman" w:hAnsi="Times New Roman" w:cs="Times New Roman" w:eastAsia="Times New Roman"/>
                <w:b w:val="false"/>
                <w:sz w:val="26"/>
              </w:rPr>
              <w:t>Nghị định 181/2013/NĐ-CP</w:t>
            </w:r>
          </w:p>
        </w:tc>
        <w:tc>
          <w:p/>
          <w:p>
            <w:pPr>
              <w:spacing w:after="0" w:before="0" w:lineRule="auto" w:line="276"/>
              <w:jc w:val="left"/>
            </w:pPr>
            <w:r>
              <w:rPr>
                <w:rFonts w:ascii="Times New Roman" w:hAnsi="Times New Roman" w:cs="Times New Roman" w:eastAsia="Times New Roman"/>
                <w:b w:val="false"/>
                <w:sz w:val="26"/>
              </w:rPr>
              <w:t>14-11-2013</w:t>
            </w:r>
          </w:p>
        </w:tc>
        <w:tc>
          <w:p/>
        </w:tc>
      </w:tr>
      <w:tr>
        <w:tc>
          <w:p/>
          <w:p>
            <w:pPr>
              <w:spacing w:after="0" w:before="0" w:lineRule="auto" w:line="276"/>
              <w:jc w:val="left"/>
            </w:pPr>
            <w:r>
              <w:rPr>
                <w:rFonts w:ascii="Times New Roman" w:hAnsi="Times New Roman" w:cs="Times New Roman" w:eastAsia="Times New Roman"/>
                <w:b w:val="false"/>
                <w:sz w:val="26"/>
              </w:rPr>
              <w:t>67/2021/TT-BTC</w:t>
            </w:r>
          </w:p>
        </w:tc>
        <w:tc>
          <w:p/>
          <w:p>
            <w:pPr>
              <w:spacing w:after="0" w:before="0" w:lineRule="auto" w:line="276"/>
              <w:jc w:val="left"/>
            </w:pPr>
            <w:r>
              <w:rPr>
                <w:rFonts w:ascii="Times New Roman" w:hAnsi="Times New Roman" w:cs="Times New Roman" w:eastAsia="Times New Roman"/>
                <w:b w:val="false"/>
                <w:sz w:val="26"/>
              </w:rPr>
              <w:t>Thông tư 67/2021/TT-BTC</w:t>
            </w:r>
          </w:p>
        </w:tc>
        <w:tc>
          <w:p/>
          <w:p>
            <w:pPr>
              <w:spacing w:after="0" w:before="0" w:lineRule="auto" w:line="276"/>
              <w:jc w:val="left"/>
            </w:pPr>
            <w:r>
              <w:rPr>
                <w:rFonts w:ascii="Times New Roman" w:hAnsi="Times New Roman" w:cs="Times New Roman" w:eastAsia="Times New Roman"/>
                <w:b w:val="false"/>
                <w:sz w:val="26"/>
              </w:rPr>
              <w:t>05-08-2021</w:t>
            </w:r>
          </w:p>
        </w:tc>
        <w:tc>
          <w:p/>
        </w:tc>
      </w:tr>
      <w:tr>
        <w:tc>
          <w:p/>
          <w:p>
            <w:pPr>
              <w:spacing w:after="0" w:before="0" w:lineRule="auto" w:line="276"/>
              <w:jc w:val="left"/>
            </w:pPr>
            <w:r>
              <w:rPr>
                <w:rFonts w:ascii="Times New Roman" w:hAnsi="Times New Roman" w:cs="Times New Roman" w:eastAsia="Times New Roman"/>
                <w:b w:val="false"/>
                <w:sz w:val="26"/>
              </w:rPr>
              <w:t>148/2025/NĐ-CP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Y TẾ</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các quy định của pháp luật về quảng cáo:
-	Phải đủ điều kiện quảng cáo quy định tại Điểm d Khoản 4 Điều 20 của Luật quảng cáo và có giấy tiếp nhận bản công bố hợp quy hoặc giấy xác nhận công bố phù hợp quy định an toàn thực phẩm (đối với những sản phẩm chưa có quy chuẩn kỹ thuật) của cơ quan nhà nước có thẩm quyền cấp.
-	Điều 27 Nghị định số 15/2018/NĐ-CP ngày 2/2/2018 của Chính phủ quy
	định chi tiết thi hành một số điều của Luật an toàn thực phẩm.
Việc đăng ký nội dung quảng cáo thực phẩm ngoài việc phải tuân thủ các quy định của pháp luật về quảng cáo còn phải tuân thủ các quy định sau:
1.	Trước khi quảng cáo, tổ chức, cá nhân có sản phẩm quảng cáo phải đăng ký nội dung quảng cáo với cơ quan cấp Giấy tiếp nhận bản đăng ký công bố sản phẩm theo quy định hiện hành.
2.	Nội dung quảng cáo phải phù hợp với công dụng, tác dụng của sản phẩm đã được công bố trong bản công bố sản phẩm. Không sử dụng hình ảnh, thiết bị, trang phục, tên, thư tín của các đơn vị, cơ sở y tế, bác sỹ, dược sỹ, nhân viên y tế, thư cảm ơn của người bệnh, bài viết của bác sỹ, dược sỹ, nhân viên y tế để quảng cáo thực phẩm.
- Nội dung quảng cáo phải theo đúng quy định tại Điều 5 và Điều 8 Nghị định số 181/2013/NĐ-CP và Khoản 2 Điều 6 Nghị định số 100/2014/NĐ-CP ngày 06 tháng 11 năm 2014 của Chính phủ quy định về kinh doanh và sử dụng sản phẩm dinh dưỡng dùng cho trẻ nhỏ, bình bú và vú ngậm nhân tạo.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https://thutuc.dichvucong.gov.vn/p/home/dvc-tthc-thu-tuc-hanh-chinh-chi-tiet.html?ma_thu_tuc=384524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2025-12-02T12:20:19Z</dcterms:created>
  <dc:creator>Apache POI</dc:creator>
</cp:coreProperties>
</file>