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1.013855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2495/QĐ-BYT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cơ sở đủ điều kiện an toàn thực phẩm đối với cơ sở kinh doanh dịch vụ ăn uống, cơ sở sản xuất thực phẩm thuộc phạm vi quản lý của Bộ Y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thực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cá nhân kinh doanh dịch vụ ăn uống, sản xuất thực phẩm thuộc phạm vi quản lý của Bộ Y tế quy định tại Chương III Nghị định số 67/2016/NĐ-CP ngày 01 tháng 7 năm 2016 của Chính phủ quy định về điều kiện sản xuất, kinh doanh thực phẩm thuộc lĩnh vực quản lý chuyên ngành của Bộ Y tế đã được sửa đổi, bổ sung năm 2018 thuộc thẩm quyền của người đứng đầu cơ quan chuyên môn về y tế thuộc Ủy ban nhân dân cấp tỉnh hoặc cơ quan chuyên môn được Ủy ban nhân dân cấp tỉnh giao nhiệm vụ nộp hồ sơ đăng ký cấp Giấy chứng nhận cơ sở đủ điều kiện an toàn thực phẩm qua đường bưu chính công ích hoặc nộp trực tuyến hoặc nộp trực tiếp đến cơ quan chuyên môn về y tế thuộc Ủy ban nhân dân cấp tỉnh hoặc cơ quan chuyên môn được Ủy ban nhân dân cấp tỉnh giao nhiệm vụ.</w:t>
      </w:r>
    </w:p>
    <w:p>
      <w:pPr>
        <w:spacing w:after="0" w:before="0" w:lineRule="auto" w:line="276"/>
        <w:jc w:val="both"/>
      </w:pPr>
      <w:r>
        <w:rPr>
          <w:rFonts w:ascii="Times New Roman" w:hAnsi="Times New Roman" w:cs="Times New Roman" w:eastAsia="Times New Roman"/>
          <w:b w:val="false"/>
          <w:sz w:val="26"/>
        </w:rPr>
        <w:t>Trường hợp có yêu cầu sửa đổi, bổ sung hồ sơ, cơ quan tiếp nhận hồ sơ có trách nhiệm thông báo bằng văn bản cho cơ sở trong thời hạn 05 làm việc ngày kể từ khi nhận đủ hồ sơ.
Trường hợp quá 30 ngày kể từ khi nhận được thông báo, cơ sở không bổ sung, hoàn chỉnh hồ sơ theo yêu cầu thì hồ sơ của cơ sở không còn giá trị. Tổ chức, cá nhân phải nộp hồ sơ mới để được cấp Giấy chứng nhận nếu có nhu cầu.
Trường hợp hồ sơ đạt yêu cầu, cơ quan tiếp nhận hồ sơ có trách nhiệm thành lập đoàn thẩm định hoặc ủy quyền thẩm định và lập Biên bản thẩm định theo Mẫu số 2 Phụ lục I kèm theo Nghị định số 155/2018/NĐ-CP ngày 13/11/2018 trong thời hạn 15 ngày làm việc kể từ ngày nhận đủ hồ sơ. Trường hợp uỷ quyền thẩm định cho cơ quan có thẩm quyền cấp dưới thì phải có văn bản ủy quyền;
Đoàn thẩm định do cơ quan có thẩm quyền cấp Giấy chứng nhận hoặc cơ quan được ủy quyền thẩm định ra quyết định thành lập có từ 3 đến 5 người. Trong đó có ít nhất 02 thành viên làm công tác về an toàn thực phẩm (có thể mời chuyên gia phù hợp lĩnh vực sản xuất thực phẩm của cơ sở tham gia đoàn thẩm định cơ sở).
Trường hợp kết quả thẩm định đạt yêu cầu, trong thời gian 05 ngày làm việc kể từ ngày có kết quả thẩm định, cơ quan tiếp nhận hồ sơ cấp Giấy chứng nhận theo Mẫu số 03 Phụ lục I ban hành kèm theo Nghị định số 155/2018/NĐ-CP ngày 13/11/2018.
Trường hợp kết quả thẩm định tại cơ sở chưa đạt yêu cầu và có thể khắc phục, đoàn thẩm định phải ghi rõ nội dung, yêu cầu và thời gian khắc phục vào Biên bản thẩm định với thời hạn khắc phục không quá 30 ngày.
Sau khi có báo cáo kết quả khắc phục của cơ sở, trong thời hạn 05 ngày làm việc Đoàn thẩm định đánh giá kết quả khắc phục và ghi kết luận vào biên bản thẩm định. Trường hợp kết quả khắc phục đạt yêu cầu sẽ được cấp Giấy chứng nhận theo quy định tại điểm d khoản 3 Điều 6 Chương III được sửa đổi, bổ sung tại khoản 3 Điều 2 Nghị định số 155/2018/NĐ-CP ngày 13/11/2018. Trường hợp kết quả khắc phục không đạt yêu cầu thì cơ quan tiếp nhận hồ sơ thông báo kết quả thẩm định cơ sở không đạt yêu cầu bằng văn bản cho cơ sở và cho cơ quan quản lý địa phương;
Trường hợp kết quả thẩm định không đạt yêu cầu, cơ quan tiếp nhận hồ sơ thông báo bằng văn bản cho cơ quan quản lý địa phương giám sát và yêu cầu cơ sở không được hoạt động cho đến khi được cấp Giấy chứng nhận.
Trường hợp thay đổi tên của doanh nghiệp hoặc/và đổi chủ cơ sở, thay đổi địa chỉ nhưng không thay đổi vị trí và quy trình sản xuất thực phẩm, kinh doanh dịch vụ ăn uống và Giấy chứng nhận phải còn thời hạn thì cơ sở gửi thông báo thay đổi thông tin trên Giấy chứng nhận và kèm bản sao văn bản hợp pháp thể hiện sự thay đổi đó đến cơ quan tiếp nhận hồ sơ đã cấp Giấy chứng nhận qua hệ thống dịch vụ công trực tuyến hoặc qua đường bưu điện hoặc tại cơ quan tiếp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250.000 Đồng</w:t>
              <w:t xml:space="preserve"> (Phí đối với cơ sở sản xuất nhỏ lẻ được cấp giấy chứng nhận cơ sở đủ điều kiện ATTP: 250.000/lần/cơ sở)</w:t>
            </w:r>
          </w:p>
          <w:p>
            <w:pPr>
              <w:spacing w:after="0" w:before="0" w:lineRule="auto" w:line="276"/>
              <w:jc w:val="left"/>
            </w:pPr>
            <w:r>
              <w:rPr>
                <w:rFonts w:ascii="Times New Roman" w:hAnsi="Times New Roman" w:cs="Times New Roman" w:eastAsia="Times New Roman"/>
                <w:b w:val="false"/>
                <w:sz w:val="26"/>
              </w:rPr>
              <w:t>Phí : 350.000 Đồng</w:t>
              <w:t xml:space="preserve"> (Phí thẩm định cơ sở kinh doanh dịch vụ ăn uống dưới 200 suất ăn: 350.000/lần/cơ sở)</w:t>
            </w:r>
          </w:p>
          <w:p>
            <w:pPr>
              <w:spacing w:after="0" w:before="0" w:lineRule="auto" w:line="276"/>
              <w:jc w:val="left"/>
            </w:pPr>
            <w:r>
              <w:rPr>
                <w:rFonts w:ascii="Times New Roman" w:hAnsi="Times New Roman" w:cs="Times New Roman" w:eastAsia="Times New Roman"/>
                <w:b w:val="false"/>
                <w:sz w:val="26"/>
              </w:rPr>
              <w:t>Phí : 500.000 Đồng</w:t>
              <w:t xml:space="preserve"> (Phí thẩm định cơ sở kinh doanh thực phẩm: 500.000/lần/cơ sở)</w:t>
            </w:r>
          </w:p>
          <w:p>
            <w:pPr>
              <w:spacing w:after="0" w:before="0" w:lineRule="auto" w:line="276"/>
              <w:jc w:val="left"/>
            </w:pPr>
            <w:r>
              <w:rPr>
                <w:rFonts w:ascii="Times New Roman" w:hAnsi="Times New Roman" w:cs="Times New Roman" w:eastAsia="Times New Roman"/>
                <w:b w:val="false"/>
                <w:sz w:val="26"/>
              </w:rPr>
              <w:t>Phí : 500.000 Đồng</w:t>
              <w:t xml:space="preserve"> (Phí thẩm định cơ sở kinh doanh dịch vụ ăn uống từ 200 suất ăn trở lên: 500.000/lần/cơ sở)</w:t>
            </w:r>
          </w:p>
          <w:p>
            <w:pPr>
              <w:spacing w:after="0" w:before="0" w:lineRule="auto" w:line="276"/>
              <w:jc w:val="left"/>
            </w:pPr>
            <w:r>
              <w:rPr>
                <w:rFonts w:ascii="Times New Roman" w:hAnsi="Times New Roman" w:cs="Times New Roman" w:eastAsia="Times New Roman"/>
                <w:b w:val="false"/>
                <w:sz w:val="26"/>
              </w:rPr>
              <w:t>Phí : 1.250.000 Đồng</w:t>
              <w:t xml:space="preserve"> (Phí đối với cơ sở sản xuất khác (bao gồm cả cơ sở vừa sản xuấy vừa kinh doanh) được cấp giấy chứng nhận cơ sở đủ điều kiện ATTP: 1.250.000/lần/cơ sở)</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250.000 Đồng</w:t>
              <w:t xml:space="preserve"> (Phí đối với cơ sở sản xuất nhỏ lẻ được cấp giấy chứng nhận cơ sở đủ điều kiện ATTP: 250.000/lần/cơ sở)</w:t>
            </w:r>
          </w:p>
          <w:p>
            <w:pPr>
              <w:spacing w:after="0" w:before="0" w:lineRule="auto" w:line="276"/>
              <w:jc w:val="left"/>
            </w:pPr>
            <w:r>
              <w:rPr>
                <w:rFonts w:ascii="Times New Roman" w:hAnsi="Times New Roman" w:cs="Times New Roman" w:eastAsia="Times New Roman"/>
                <w:b w:val="false"/>
                <w:sz w:val="26"/>
              </w:rPr>
              <w:t>Phí : 350.000 Đồng</w:t>
              <w:t xml:space="preserve"> (Phí thẩm định cơ sở kinh doanh dịch vụ ăn uống dưới 200 suất ăn: 350.000/lần/cơ sở)</w:t>
            </w:r>
          </w:p>
          <w:p>
            <w:pPr>
              <w:spacing w:after="0" w:before="0" w:lineRule="auto" w:line="276"/>
              <w:jc w:val="left"/>
            </w:pPr>
            <w:r>
              <w:rPr>
                <w:rFonts w:ascii="Times New Roman" w:hAnsi="Times New Roman" w:cs="Times New Roman" w:eastAsia="Times New Roman"/>
                <w:b w:val="false"/>
                <w:sz w:val="26"/>
              </w:rPr>
              <w:t>Phí : 500.000 Đồng</w:t>
              <w:t xml:space="preserve"> (Phí thẩm định cơ sở kinh doanh thực phẩm: 500.000/lần/cơ sở)</w:t>
            </w:r>
          </w:p>
          <w:p>
            <w:pPr>
              <w:spacing w:after="0" w:before="0" w:lineRule="auto" w:line="276"/>
              <w:jc w:val="left"/>
            </w:pPr>
            <w:r>
              <w:rPr>
                <w:rFonts w:ascii="Times New Roman" w:hAnsi="Times New Roman" w:cs="Times New Roman" w:eastAsia="Times New Roman"/>
                <w:b w:val="false"/>
                <w:sz w:val="26"/>
              </w:rPr>
              <w:t>Phí : 500.000 Đồng</w:t>
              <w:t xml:space="preserve"> (Phí thẩm định cơ sở kinh doanh dịch vụ ăn uống từ 200 suất ăn trở lên: 500.000/lần/cơ sở)</w:t>
            </w:r>
          </w:p>
          <w:p>
            <w:pPr>
              <w:spacing w:after="0" w:before="0" w:lineRule="auto" w:line="276"/>
              <w:jc w:val="left"/>
            </w:pPr>
            <w:r>
              <w:rPr>
                <w:rFonts w:ascii="Times New Roman" w:hAnsi="Times New Roman" w:cs="Times New Roman" w:eastAsia="Times New Roman"/>
                <w:b w:val="false"/>
                <w:sz w:val="26"/>
              </w:rPr>
              <w:t>Phí : 1.250.000 Đồng</w:t>
              <w:t xml:space="preserve"> (Phí đối với cơ sở sản xuất khác (bao gồm cả cơ sở vừa sản xuấy vừa kinh doanh) được cấp giấy chứng nhận cơ sở đủ điều kiện ATTP: 1.250.000/lần/cơ sở)</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350.000 Đồng</w:t>
              <w:t xml:space="preserve"> (Phí thẩm định cơ sở kinh doanh dịch vụ ăn uống dưới 200 suất ăn: 350.000/lần/cơ sở)</w:t>
            </w:r>
          </w:p>
          <w:p>
            <w:pPr>
              <w:spacing w:after="0" w:before="0" w:lineRule="auto" w:line="276"/>
              <w:jc w:val="left"/>
            </w:pPr>
            <w:r>
              <w:rPr>
                <w:rFonts w:ascii="Times New Roman" w:hAnsi="Times New Roman" w:cs="Times New Roman" w:eastAsia="Times New Roman"/>
                <w:b w:val="false"/>
                <w:sz w:val="26"/>
              </w:rPr>
              <w:t>Phí : 500.000 Đồng</w:t>
              <w:t xml:space="preserve"> (Phí thẩm định cơ sở kinh doanh thực phẩm: 500.000/lần/cơ sở)</w:t>
            </w:r>
          </w:p>
          <w:p>
            <w:pPr>
              <w:spacing w:after="0" w:before="0" w:lineRule="auto" w:line="276"/>
              <w:jc w:val="left"/>
            </w:pPr>
            <w:r>
              <w:rPr>
                <w:rFonts w:ascii="Times New Roman" w:hAnsi="Times New Roman" w:cs="Times New Roman" w:eastAsia="Times New Roman"/>
                <w:b w:val="false"/>
                <w:sz w:val="26"/>
              </w:rPr>
              <w:t>Phí : 500.000 Đồng</w:t>
              <w:t xml:space="preserve"> (Phí thẩm định cơ sở kinh doanh dịch vụ ăn uống từ 200 suất ăn trở lên: 500.000/lần/cơ sở)</w:t>
            </w:r>
          </w:p>
          <w:p>
            <w:pPr>
              <w:spacing w:after="0" w:before="0" w:lineRule="auto" w:line="276"/>
              <w:jc w:val="left"/>
            </w:pPr>
            <w:r>
              <w:rPr>
                <w:rFonts w:ascii="Times New Roman" w:hAnsi="Times New Roman" w:cs="Times New Roman" w:eastAsia="Times New Roman"/>
                <w:b w:val="false"/>
                <w:sz w:val="26"/>
              </w:rPr>
              <w:t>Phí : 1.250.000 Đồng</w:t>
              <w:t xml:space="preserve"> (Phí đối với cơ sở sản xuất khác (bao gồm cả cơ sở vừa sản xuấy vừa kinh doanh) được cấp giấy chứng nhận cơ sở đủ điều kiện ATTP: 1.250.000/lần/cơ sở)</w:t>
            </w:r>
          </w:p>
          <w:p>
            <w:pPr>
              <w:spacing w:after="0" w:before="0" w:lineRule="auto" w:line="276"/>
              <w:jc w:val="left"/>
            </w:pPr>
            <w:r>
              <w:rPr>
                <w:rFonts w:ascii="Times New Roman" w:hAnsi="Times New Roman" w:cs="Times New Roman" w:eastAsia="Times New Roman"/>
                <w:b w:val="false"/>
                <w:sz w:val="26"/>
              </w:rPr>
              <w:t>Phí : 250.000 Đồng</w:t>
              <w:t xml:space="preserve"> (Phí đối với cơ sở sản xuất nhỏ lẻ được cấp giấy chứng nhận cơ sở đủ điều kiện ATTP: 250.000/lần/cơ sở)</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Thành phần hồ sơ: a)	Đơn đề nghị cấp Giấy chứng nhận (Mẫu số 1 Phụ lục I kèm theo Nghị định số 155/2018/NĐ-CP ngày 13/11/2018); b)	Bản sao Giấy chứng nhận đăng ký kinh doanh hoặc Giấy chứng nhận đăng ký doanh nghiệp có ngành nghề phù hợp với loại thực phẩm của cơ sở sản xuất (có xác nhận của cơ sở); c)	Bản thuyết minh về cơ sở vật chất, trang thiết bị dụng cụ bảo đảm điều kiện vệ sinh an toàn thực phẩm. d)	Giấy xác nhận đủ sức khỏe của chủ cơ sở và người trực tiếp sản xuất, kinh doanh thực phẩm do cơ sở y tế tuyến huyện trở lên cấp. c) Danh sách người sản xuất thực phẩm, kinh doanh dịch vụ ăn uống đã được tập huấn kiến thức an toàn thực phẩm có xác nhận của chủ cơ sở. B. Số lượng hồ sơ: 01 bộ</w:t>
            </w:r>
          </w:p>
        </w:tc>
        <w:tc>
          <w:p/>
          <w:p>
            <w:pPr>
              <w:spacing w:after="0" w:before="0" w:lineRule="auto" w:line="276"/>
              <w:jc w:val="left"/>
            </w:pPr>
            <w:r>
              <w:rPr>
                <w:rFonts w:ascii="Times New Roman" w:hAnsi="Times New Roman" w:cs="Times New Roman" w:eastAsia="Times New Roman"/>
                <w:b w:val="false"/>
                <w:sz w:val="26"/>
              </w:rPr>
              <w:t>Mus1.docx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 Sở An toàn thực phẩm - TP.HCM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cơ sở đủ điều kiện an toàn thực phẩm.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55/2010/QH12</w:t>
            </w:r>
          </w:p>
        </w:tc>
        <w:tc>
          <w:p/>
          <w:p>
            <w:pPr>
              <w:spacing w:after="0" w:before="0" w:lineRule="auto" w:line="276"/>
              <w:jc w:val="left"/>
            </w:pPr>
            <w:r>
              <w:rPr>
                <w:rFonts w:ascii="Times New Roman" w:hAnsi="Times New Roman" w:cs="Times New Roman" w:eastAsia="Times New Roman"/>
                <w:b w:val="false"/>
                <w:sz w:val="26"/>
              </w:rPr>
              <w:t>Luật An toàn thực phẩm</w:t>
            </w:r>
          </w:p>
        </w:tc>
        <w:tc>
          <w:p/>
          <w:p>
            <w:pPr>
              <w:spacing w:after="0" w:before="0" w:lineRule="auto" w:line="276"/>
              <w:jc w:val="left"/>
            </w:pPr>
            <w:r>
              <w:rPr>
                <w:rFonts w:ascii="Times New Roman" w:hAnsi="Times New Roman" w:cs="Times New Roman" w:eastAsia="Times New Roman"/>
                <w:b w:val="false"/>
                <w:sz w:val="26"/>
              </w:rPr>
              <w:t>17-06-2010</w:t>
            </w:r>
          </w:p>
        </w:tc>
        <w:tc>
          <w:p/>
        </w:tc>
      </w:tr>
      <w:tr>
        <w:tc>
          <w:p/>
          <w:p>
            <w:pPr>
              <w:spacing w:after="0" w:before="0" w:lineRule="auto" w:line="276"/>
              <w:jc w:val="left"/>
            </w:pPr>
            <w:r>
              <w:rPr>
                <w:rFonts w:ascii="Times New Roman" w:hAnsi="Times New Roman" w:cs="Times New Roman" w:eastAsia="Times New Roman"/>
                <w:b w:val="false"/>
                <w:sz w:val="26"/>
              </w:rPr>
              <w:t>155/2018/NĐ-CP</w:t>
            </w:r>
          </w:p>
        </w:tc>
        <w:tc>
          <w:p/>
          <w:p>
            <w:pPr>
              <w:spacing w:after="0" w:before="0" w:lineRule="auto" w:line="276"/>
              <w:jc w:val="left"/>
            </w:pPr>
            <w:r>
              <w:rPr>
                <w:rFonts w:ascii="Times New Roman" w:hAnsi="Times New Roman" w:cs="Times New Roman" w:eastAsia="Times New Roman"/>
                <w:b w:val="false"/>
                <w:sz w:val="26"/>
              </w:rPr>
              <w:t>Nghị định 155/2018/NĐ-CP</w:t>
            </w:r>
          </w:p>
        </w:tc>
        <w:tc>
          <w:p/>
          <w:p>
            <w:pPr>
              <w:spacing w:after="0" w:before="0" w:lineRule="auto" w:line="276"/>
              <w:jc w:val="left"/>
            </w:pPr>
            <w:r>
              <w:rPr>
                <w:rFonts w:ascii="Times New Roman" w:hAnsi="Times New Roman" w:cs="Times New Roman" w:eastAsia="Times New Roman"/>
                <w:b w:val="false"/>
                <w:sz w:val="26"/>
              </w:rPr>
              <w:t>12-11-2018</w:t>
            </w:r>
          </w:p>
        </w:tc>
        <w:tc>
          <w:p/>
        </w:tc>
      </w:tr>
      <w:tr>
        <w:tc>
          <w:p/>
          <w:p>
            <w:pPr>
              <w:spacing w:after="0" w:before="0" w:lineRule="auto" w:line="276"/>
              <w:jc w:val="left"/>
            </w:pPr>
            <w:r>
              <w:rPr>
                <w:rFonts w:ascii="Times New Roman" w:hAnsi="Times New Roman" w:cs="Times New Roman" w:eastAsia="Times New Roman"/>
                <w:b w:val="false"/>
                <w:sz w:val="26"/>
              </w:rPr>
              <w:t>67/2021/TT-BTC</w:t>
            </w:r>
          </w:p>
        </w:tc>
        <w:tc>
          <w:p/>
          <w:p>
            <w:pPr>
              <w:spacing w:after="0" w:before="0" w:lineRule="auto" w:line="276"/>
              <w:jc w:val="left"/>
            </w:pPr>
            <w:r>
              <w:rPr>
                <w:rFonts w:ascii="Times New Roman" w:hAnsi="Times New Roman" w:cs="Times New Roman" w:eastAsia="Times New Roman"/>
                <w:b w:val="false"/>
                <w:sz w:val="26"/>
              </w:rPr>
              <w:t>Thông tư 67/2021/TT-BTC</w:t>
            </w:r>
          </w:p>
        </w:tc>
        <w:tc>
          <w:p/>
          <w:p>
            <w:pPr>
              <w:spacing w:after="0" w:before="0" w:lineRule="auto" w:line="276"/>
              <w:jc w:val="left"/>
            </w:pPr>
            <w:r>
              <w:rPr>
                <w:rFonts w:ascii="Times New Roman" w:hAnsi="Times New Roman" w:cs="Times New Roman" w:eastAsia="Times New Roman"/>
                <w:b w:val="false"/>
                <w:sz w:val="26"/>
              </w:rPr>
              <w:t>05-08-2021</w:t>
            </w:r>
          </w:p>
        </w:tc>
        <w:tc>
          <w:p/>
        </w:tc>
      </w:tr>
      <w:tr>
        <w:tc>
          <w:p/>
          <w:p>
            <w:pPr>
              <w:spacing w:after="0" w:before="0" w:lineRule="auto" w:line="276"/>
              <w:jc w:val="left"/>
            </w:pPr>
            <w:r>
              <w:rPr>
                <w:rFonts w:ascii="Times New Roman" w:hAnsi="Times New Roman" w:cs="Times New Roman" w:eastAsia="Times New Roman"/>
                <w:b w:val="false"/>
                <w:sz w:val="26"/>
              </w:rPr>
              <w:t>148/2025/NĐ-CP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Y TẾ</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số 64/2025/TT-BTC ngày 30/6/2025 của Bộ trưởng Bộ Tài chính quy định mức thu,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I. Cơ sở kinh doanh dịch vụ ăn uống
1.	Tuân thủ các quy định tại Điều 28, 29 và Điều 30 Luật an toàn thực phẩm và các yêu cầu cụ thể sau:
a)	Thực hiện kiểm thực ba bước và lưu mẫu thức ăn theo hướng dẫn của Bộ Y tế;
b)	Thiết bị, phương tiện vận chuyển, bảo quản thực phẩm phải bảo đảm vệ sinh và không gây ô nhiễm cho thực phẩm;
2. Người trực tiếp chế biến thức ăn phải được tập huấn kiến thức an toàn thực phẩm và được chủ cơ sở xác nhận và không bị mắc các bệnh tả, lỵ, thương hàn, viêm gan A, E, viêm da nhiễm trùng, lao phổi, tiêu chảy cấp khi đang sản xuất, kinh doanh thực phẩm.".
II. Cơ sở sản xuất, kinh doanh thực phẩm thuộc thẩm quyền quản lý của Bộ Y tế
	1.	Tuân thủ các quy định tại Điều 19, 20, 21, 22, 25, 26 và Điều 27 Luật an toàn thực phẩm và các yêu cầu cụ thể sau:
a)	Quy trình sản xuất thực phẩm được bố trí theo nguyên tắc một chiều từ nguyên liệu đầu vào cho đến sản phẩm cuối cùng;
b)	Tường, trần, nền nhà khu vực sản xuất, kinh doanh, kho sản phẩm không thấm nước, rạn nứt, ẩm mốc;
c)	Trang thiết bị, dụng cụ tiếp xúc trực tiếp với thực phẩm dễ làm vệ sinh, không thôi nhiễm chất độc hại và không gây ô nhiễm đối với thực phẩm;
d)	Có ủng hoặc giầy, dép để sử dụng riêng trong khu vực sản xuất thực phẩm;
đ) Bảo đảm không có côn trùng và động vật gây hại xâm nhập vào khu vực sản xuất và kho chứa thực phẩm, nguyên liệu thực phẩm; không sử dụng hoá chất diệt chuột, côn trùng và động vật gây hại trong khu vực sản xuất và kho chứa thực phẩm, nguyên liệu thực phẩm;
e)	Không bày bán hoá chất dùng cho mục đích khác trong cơ sở kinh doanh phụ gia, chất hỗ trợ chế biến thực phẩm.
2. Người trực tiếp sản xuất, kinh doanh phải được tập huấn kiến thức an toàn thực phẩm và được chủ cơ sở xác nhận và không bị mắc các bệnh tả, lỵ, thương hàn, viêm gan A, E, viêm da nhiễm trùng, lao phổi, tiêu chảy cấp khi đang sản xuất, kinh doanh thực phẩm.
III. Cơ sở sản xuất, kinh doanh phụ gia thực phẩm
1.	Đáp ứng các quy định chung về điều kiện bảo đảm an toàn thực phẩm được quy định tại khoản 1 Điều 19, khoản 1 Điều 20, khoản 1 Điều 21 Luật an toàn thực phẩm.
2.	Chỉ được phối trộn các phụ gia thực phẩm khi các phụ gia thực phẩm đó thuộc danh mục các chất phụ gia được phép sử dụng trong thực phẩm do Bộ Y tế quy định và sản phẩm cuối cùng của sự phối trộn không gây ra bất cứ tác hại nào với sức khỏe con người; trường hợp tạo ra một sản phẩm mới, có công dụng mới phải chứng minh công dụng, đối tượng sử dụng và mức sử dụng tối đa.
3.	Việc sang chia, san, chiết phụ gia thực phẩm phải được thực hiện tại cơ sở đủ điều kiện an toàn thực phẩm và ghi nhãn theo quy định hiện hành.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https://thutuc.dichvucong.gov.vn/p/home/dvc-tthc-thu-tuc-hanh-chinh-chi-tiet.html?ma_thu_tuc=384489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2025-12-02T12:20:19Z</dcterms:created>
  <dc:creator>Apache POI</dc:creator>
</cp:coreProperties>
</file>