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32E3" w:rsidRDefault="00A64AC4">
      <w:pPr>
        <w:spacing w:after="300" w:line="276" w:lineRule="auto"/>
        <w:jc w:val="center"/>
      </w:pPr>
      <w:r>
        <w:rPr>
          <w:rFonts w:ascii="Times New Roman" w:eastAsia="Times New Roman" w:hAnsi="Times New Roman" w:cs="Times New Roman"/>
          <w:b/>
          <w:sz w:val="26"/>
        </w:rPr>
        <w:t>Chi tiết thủ tục hành chính</w:t>
      </w:r>
    </w:p>
    <w:p w:rsidR="003232E3" w:rsidRDefault="00A64AC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1.013867</w:t>
      </w:r>
    </w:p>
    <w:p w:rsidR="003232E3" w:rsidRDefault="00A64AC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3232E3" w:rsidRDefault="00A64AC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lưu hành bổ sung do thay đổi tên, địa chỉ liên lạc của đơn vị đăng ký, đơn vị sản xuất chế phẩm diệt côn trùng, diệt khuẩn dùng trong lĩnh vực gia dụng và y tế .</w:t>
      </w:r>
    </w:p>
    <w:p w:rsidR="003232E3" w:rsidRDefault="00A64AC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3232E3" w:rsidRDefault="00A64AC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232E3" w:rsidRDefault="00A64AC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3232E3" w:rsidRDefault="00A64AC4">
      <w:pPr>
        <w:spacing w:after="0" w:line="276" w:lineRule="auto"/>
        <w:jc w:val="both"/>
      </w:pPr>
      <w:r>
        <w:rPr>
          <w:rFonts w:ascii="Times New Roman" w:eastAsia="Times New Roman" w:hAnsi="Times New Roman" w:cs="Times New Roman"/>
          <w:b/>
          <w:sz w:val="26"/>
        </w:rPr>
        <w:t xml:space="preserve">Trình tự thực hiện: </w:t>
      </w:r>
    </w:p>
    <w:p w:rsidR="003232E3" w:rsidRDefault="003232E3">
      <w:pPr>
        <w:shd w:val="clear" w:color="auto" w:fill="F2F6F9"/>
        <w:spacing w:before="120" w:after="0" w:line="276" w:lineRule="auto"/>
        <w:jc w:val="both"/>
      </w:pPr>
    </w:p>
    <w:p w:rsidR="003232E3" w:rsidRDefault="00A64AC4">
      <w:pPr>
        <w:spacing w:after="0" w:line="276" w:lineRule="auto"/>
        <w:jc w:val="both"/>
      </w:pPr>
      <w:r>
        <w:rPr>
          <w:rFonts w:ascii="Times New Roman" w:eastAsia="Times New Roman" w:hAnsi="Times New Roman" w:cs="Times New Roman"/>
          <w:sz w:val="26"/>
        </w:rPr>
        <w:t xml:space="preserve">Bước 1: Cơ sở đăng ký lưu hành bổ sung nộp hồ sơ đến Cơ quan chuyên môn về y tế thuộc Ủy ban nhân dân cấp tỉnh. Bước 2: Sau khi nhận được hồ sơ đăng ký lưu hành bổ sung đầy đủ và phí thẩm định hồ sơ, Cơ quan chuyên môn về y tế thuộc Ủy ban nhân dân cấp tỉnh gửi cho cơ sở đăng ký Phiếu tiếp nhận hồ sơ theo Mẫu số 05 tại Phụ lục III ban hành kèm theo Nghị định số 91/2016/NĐ-CP. Bước 3: Trong thời hạn 30 ngày, kể từ ngày ghi trên Phiếu tiếp nhận hồ sơ, Cơ quan chuyên môn về y tế thuộc Ủy ban nhân dân cấp tỉnh </w:t>
      </w:r>
      <w:r>
        <w:rPr>
          <w:rFonts w:ascii="Times New Roman" w:eastAsia="Times New Roman" w:hAnsi="Times New Roman" w:cs="Times New Roman"/>
          <w:sz w:val="26"/>
        </w:rPr>
        <w:t>thông báo bằng văn bản cho cơ sở đăng ký về việc yêu cầu sửa đổi, bổ sung hồ sơ; đồng ý hoặc không đồng ý với nội dung đăng ký lưu hành bổ sung và nêu rõ lý do. Bước 4: Trường hợp Cơ quan chuyên môn về y tế thuộc Ủy ban nhân dân cấp tỉnh có văn bản yêu cầu bổ sung, sửa đổi hồ sơ, trong thời hạn 90 ngày, kể từ ngày ghi trên văn bản, cơ sở đăng ký bổ sung phải hoàn chỉnh hồ sơ, giải trình bằng văn bản và gửi đến Cơ quan chuyên môn về y tế thuộc Ủy ban nhân dân cấp tỉnh. Ngày tiếp nhận hồ sơ bổ sung, sửa đổi đ</w:t>
      </w:r>
      <w:r>
        <w:rPr>
          <w:rFonts w:ascii="Times New Roman" w:eastAsia="Times New Roman" w:hAnsi="Times New Roman" w:cs="Times New Roman"/>
          <w:sz w:val="26"/>
        </w:rPr>
        <w:t>ược ghi trên Phiếu tiếp nhận hồ sơ. Quá thời hạn trên, hồ sơ đăng ký lưu hành bổ sung sẽ bị hủy bỏ. Trường hợp cơ sở đăng ký không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w:t>
      </w:r>
    </w:p>
    <w:p w:rsidR="003232E3" w:rsidRDefault="00A64AC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5"/>
        <w:gridCol w:w="1817"/>
        <w:gridCol w:w="3171"/>
        <w:gridCol w:w="2648"/>
      </w:tblGrid>
      <w:tr w:rsidR="003232E3">
        <w:tblPrEx>
          <w:tblCellMar>
            <w:top w:w="0" w:type="dxa"/>
            <w:bottom w:w="0" w:type="dxa"/>
          </w:tblCellMar>
        </w:tblPrEx>
        <w:tc>
          <w:tcPr>
            <w:tcW w:w="15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Hình thức nộp</w:t>
            </w:r>
          </w:p>
        </w:tc>
        <w:tc>
          <w:tcPr>
            <w:tcW w:w="2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Phí, lệ phí</w:t>
            </w:r>
          </w:p>
        </w:tc>
        <w:tc>
          <w:tcPr>
            <w:tcW w:w="3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Mô tả</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Trực tiếp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30 Ngày</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Phí : 1.250.000 Đồng</w:t>
            </w:r>
          </w:p>
        </w:tc>
        <w:tc>
          <w:tcPr>
            <w:tcW w:w="0" w:type="auto"/>
          </w:tcPr>
          <w:p w:rsidR="003232E3" w:rsidRDefault="003232E3"/>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Trực tuyến</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30 Ngày</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Phí : 1.250.000 Đồng</w:t>
            </w:r>
          </w:p>
        </w:tc>
        <w:tc>
          <w:tcPr>
            <w:tcW w:w="0" w:type="auto"/>
          </w:tcPr>
          <w:p w:rsidR="003232E3" w:rsidRDefault="003232E3"/>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Dịch vụ bưu chính</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30 Ngày</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Phí : 1.250.000 Đồng</w:t>
            </w:r>
          </w:p>
        </w:tc>
        <w:tc>
          <w:tcPr>
            <w:tcW w:w="0" w:type="auto"/>
          </w:tcPr>
          <w:p w:rsidR="003232E3" w:rsidRDefault="003232E3"/>
        </w:tc>
      </w:tr>
    </w:tbl>
    <w:p w:rsidR="003232E3" w:rsidRDefault="00A64AC4">
      <w:pPr>
        <w:spacing w:before="240" w:after="0" w:line="276" w:lineRule="auto"/>
        <w:jc w:val="both"/>
      </w:pPr>
      <w:r>
        <w:rPr>
          <w:rFonts w:ascii="Times New Roman" w:eastAsia="Times New Roman" w:hAnsi="Times New Roman" w:cs="Times New Roman"/>
          <w:b/>
          <w:sz w:val="26"/>
        </w:rPr>
        <w:t xml:space="preserve">Thành phần hồ sơ: </w:t>
      </w:r>
    </w:p>
    <w:p w:rsidR="003232E3" w:rsidRDefault="00A64AC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69"/>
        <w:gridCol w:w="1532"/>
        <w:gridCol w:w="910"/>
      </w:tblGrid>
      <w:tr w:rsidR="003232E3">
        <w:tblPrEx>
          <w:tblCellMar>
            <w:top w:w="0" w:type="dxa"/>
            <w:bottom w:w="0" w:type="dxa"/>
          </w:tblCellMar>
        </w:tblPrEx>
        <w:tc>
          <w:tcPr>
            <w:tcW w:w="6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Tên giấy tờ</w:t>
            </w:r>
          </w:p>
        </w:tc>
        <w:tc>
          <w:tcPr>
            <w:tcW w:w="2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Mẫu đơn, tờ khai</w:t>
            </w:r>
          </w:p>
        </w:tc>
        <w:tc>
          <w:tcPr>
            <w:tcW w:w="2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Số lượng</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 Văn bản đề nghị đăng ký lưu hành bổ sung theo Mẫu số 05 tại Phụ lục I ban hành kèm theo Nghị định số 155/2018/NĐ-CP và Nghị định số 129/2024/NĐ-CP (Bản gốc văn bản).</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maudon.docx</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2. Giấy tờ về tư cách pháp nhân của cơ sở đăng ký, cơ sở sản xuất ghi nội dung thay đổi: - Đối với cơ sở tại Việt Nam: Giấy tờ về tư cách pháp nhân của cơ sở đăng ký, cơ sở sản xuất ghi nội dung thay đổi (Bản sao hợp lệ hoặc bản sao có đóng dấu của đơn vị được cấp theo quy định tại Nghị định số 129/2024/NĐ-CP).  - Đối với cơ sở tại nước ngoài: văn bản thông báo thay đổi của cơ sở đăng ký, cơ sở sản xuất ghi nội dung thay đổi (Bản gốc hoặc bản sao hợp lệ văn bản thông báo được hợp pháp hóa lãnh sự theo quy đ</w:t>
            </w:r>
            <w:r>
              <w:rPr>
                <w:rFonts w:ascii="Times New Roman" w:eastAsia="Times New Roman" w:hAnsi="Times New Roman" w:cs="Times New Roman"/>
                <w:sz w:val="26"/>
              </w:rPr>
              <w:t>ịnh).</w:t>
            </w:r>
          </w:p>
        </w:tc>
        <w:tc>
          <w:tcPr>
            <w:tcW w:w="0" w:type="auto"/>
          </w:tcPr>
          <w:p w:rsidR="003232E3" w:rsidRDefault="003232E3"/>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Mẫu nhãn mới của chế phẩm (Mẫu nhãn của tất cả các quy cách đóng gói theo kích thước thực có xác nhận của cơ sở đăng ký. Trường hợp nhiều quy cách đóng gói có nhãn thiết kế giống nhau, cơ sở đăng ký nộp nhãn của quy cách đóng gói nhỏ nhất. Trường hợp mẫu nhãn chế phẩm nhập khẩu ghi bằng tiếng nước ngoài thì phải kèm theo nội dung nhãn phụ bằng tiếng Việt. Mẫu nhãn, nội dung nhãn phụ của chế phẩm phải đáp ứng các yêu cầu tại Phụ lục IX ban hành kèm theo Nghị định số 129/2024/NĐ-CP).</w:t>
            </w:r>
          </w:p>
        </w:tc>
        <w:tc>
          <w:tcPr>
            <w:tcW w:w="0" w:type="auto"/>
          </w:tcPr>
          <w:p w:rsidR="003232E3" w:rsidRDefault="003232E3"/>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232E3" w:rsidRDefault="00A64AC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3232E3" w:rsidRDefault="00A64AC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3232E3" w:rsidRDefault="00A64AC4">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Không có thông tin</w:t>
      </w:r>
    </w:p>
    <w:p w:rsidR="003232E3" w:rsidRDefault="00A64AC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232E3" w:rsidRDefault="00A64AC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232E3" w:rsidRDefault="00A64AC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232E3" w:rsidRDefault="00A64AC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đồng ý hoặc không đồng ý</w:t>
      </w:r>
    </w:p>
    <w:p w:rsidR="003232E3" w:rsidRDefault="00A64AC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29"/>
        <w:gridCol w:w="732"/>
        <w:gridCol w:w="1058"/>
      </w:tblGrid>
      <w:tr w:rsidR="003232E3">
        <w:tblPrEx>
          <w:tblCellMar>
            <w:top w:w="0" w:type="dxa"/>
            <w:bottom w:w="0" w:type="dxa"/>
          </w:tblCellMar>
        </w:tblPrEx>
        <w:tc>
          <w:tcPr>
            <w:tcW w:w="2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Số ký hiệu</w:t>
            </w:r>
          </w:p>
        </w:tc>
        <w:tc>
          <w:tcPr>
            <w:tcW w:w="35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Trích yếu</w:t>
            </w:r>
          </w:p>
        </w:tc>
        <w:tc>
          <w:tcPr>
            <w:tcW w:w="15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Ngày ban hành</w:t>
            </w:r>
          </w:p>
        </w:tc>
        <w:tc>
          <w:tcPr>
            <w:tcW w:w="3000" w:type="dxa"/>
          </w:tcPr>
          <w:p w:rsidR="003232E3" w:rsidRDefault="003232E3"/>
          <w:p w:rsidR="003232E3" w:rsidRDefault="00A64AC4">
            <w:pPr>
              <w:spacing w:after="0" w:line="276" w:lineRule="auto"/>
              <w:jc w:val="center"/>
            </w:pPr>
            <w:r>
              <w:rPr>
                <w:rFonts w:ascii="Times New Roman" w:eastAsia="Times New Roman" w:hAnsi="Times New Roman" w:cs="Times New Roman"/>
                <w:b/>
                <w:sz w:val="26"/>
              </w:rPr>
              <w:t>Cơ quan ban hành</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91/2016/NĐ-CP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01-07-2016</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Chính phủ</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155/2018/NĐ-CP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Nghị định 155/2018/NĐ-CP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12-11-2018</w:t>
            </w:r>
          </w:p>
        </w:tc>
        <w:tc>
          <w:tcPr>
            <w:tcW w:w="0" w:type="auto"/>
          </w:tcPr>
          <w:p w:rsidR="003232E3" w:rsidRDefault="003232E3"/>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59/2023/TT-BTC</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30-08-2023</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Bộ trưởng Bộ tài chính</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129/2024/NĐ-CP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10-10-2024</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Chính phủ</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42/2025/NĐ-CP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27-02-2025</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Chính phủ</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148/2025/NĐ-CP</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12-06-2025</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Chính phủ</w:t>
            </w:r>
          </w:p>
        </w:tc>
      </w:tr>
      <w:tr w:rsidR="003232E3">
        <w:tblPrEx>
          <w:tblCellMar>
            <w:top w:w="0" w:type="dxa"/>
            <w:bottom w:w="0" w:type="dxa"/>
          </w:tblCellMar>
        </w:tblPrEx>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64/2025/TT-BTC</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3232E3" w:rsidRDefault="003232E3"/>
          <w:p w:rsidR="003232E3" w:rsidRDefault="00A64AC4">
            <w:pPr>
              <w:spacing w:after="0" w:line="276" w:lineRule="auto"/>
            </w:pPr>
            <w:r>
              <w:rPr>
                <w:rFonts w:ascii="Times New Roman" w:eastAsia="Times New Roman" w:hAnsi="Times New Roman" w:cs="Times New Roman"/>
                <w:sz w:val="26"/>
              </w:rPr>
              <w:t>30-06-2025</w:t>
            </w:r>
          </w:p>
        </w:tc>
        <w:tc>
          <w:tcPr>
            <w:tcW w:w="0" w:type="auto"/>
          </w:tcPr>
          <w:p w:rsidR="003232E3" w:rsidRDefault="003232E3"/>
        </w:tc>
      </w:tr>
    </w:tbl>
    <w:p w:rsidR="003232E3" w:rsidRDefault="00A64AC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đăng ký lưu hành: -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rsidR="003232E3" w:rsidRDefault="00A64AC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232E3" w:rsidRDefault="00A64AC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https://thutuc.dichvucong.gov.vn/p/home/dvc-tthc-thu-tuc-hanh-chinh-chi-tiet.html?ma_thu_tuc=384598</w:t>
      </w:r>
    </w:p>
    <w:sectPr w:rsidR="003232E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232E3"/>
    <w:rsid w:val="003232E3"/>
    <w:rsid w:val="00497EBA"/>
    <w:rsid w:val="00A64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CAAEAC-F379-46CF-B82C-9EB14F02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