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E20" w:rsidRDefault="00DA5A0E">
      <w:pPr>
        <w:spacing w:after="300" w:line="276" w:lineRule="auto"/>
        <w:jc w:val="center"/>
      </w:pPr>
      <w:r>
        <w:rPr>
          <w:rFonts w:ascii="Times New Roman" w:eastAsia="Times New Roman" w:hAnsi="Times New Roman" w:cs="Times New Roman"/>
          <w:b/>
          <w:sz w:val="26"/>
        </w:rPr>
        <w:t>Chi tiết thủ tục hành chính</w:t>
      </w:r>
    </w:p>
    <w:p w:rsidR="00CF6E20" w:rsidRDefault="00DA5A0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1.013876</w:t>
      </w:r>
    </w:p>
    <w:p w:rsidR="00CF6E20" w:rsidRDefault="00DA5A0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3574/QĐ-BYT</w:t>
      </w:r>
    </w:p>
    <w:p w:rsidR="00CF6E20" w:rsidRDefault="00DA5A0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Miễn nhiệm giám định viên pháp y và pháp y tâm thần.</w:t>
      </w:r>
    </w:p>
    <w:p w:rsidR="00CF6E20" w:rsidRDefault="00DA5A0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F6E20" w:rsidRDefault="00DA5A0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F6E20" w:rsidRDefault="00DA5A0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Giám định</w:t>
      </w:r>
    </w:p>
    <w:p w:rsidR="00CF6E20" w:rsidRDefault="00DA5A0E">
      <w:pPr>
        <w:spacing w:after="0" w:line="276" w:lineRule="auto"/>
        <w:jc w:val="both"/>
      </w:pPr>
      <w:r>
        <w:rPr>
          <w:rFonts w:ascii="Times New Roman" w:eastAsia="Times New Roman" w:hAnsi="Times New Roman" w:cs="Times New Roman"/>
          <w:b/>
          <w:sz w:val="26"/>
        </w:rPr>
        <w:t xml:space="preserve">Trình tự thực hiện: </w:t>
      </w:r>
    </w:p>
    <w:p w:rsidR="00CF6E20" w:rsidRDefault="00CF6E20">
      <w:pPr>
        <w:shd w:val="clear" w:color="auto" w:fill="F2F6F9"/>
        <w:spacing w:before="120" w:after="0" w:line="276" w:lineRule="auto"/>
        <w:jc w:val="both"/>
      </w:pPr>
    </w:p>
    <w:p w:rsidR="00CF6E20" w:rsidRDefault="00DA5A0E">
      <w:pPr>
        <w:spacing w:after="0" w:line="276" w:lineRule="auto"/>
        <w:jc w:val="both"/>
      </w:pPr>
      <w:r>
        <w:rPr>
          <w:rFonts w:ascii="Times New Roman" w:eastAsia="Times New Roman" w:hAnsi="Times New Roman" w:cs="Times New Roman"/>
          <w:sz w:val="26"/>
        </w:rPr>
        <w:t>Bước 1: Viện Khoa học hình sự - Bộ Công an; Viện Pháp y quân đội - Bộ Quốc phòng; Viện Pháp y Quốc gia; Viện Pháp y tâm thần Trung ương; Viện Pháp y tâm thần Trung ương Biên Hòa; 05 Trung tâm pháp y tâm thần khu vực; các tổ chức giám định pháp y, pháp y tâm thần lập hồ sơ miễn nhiệm gửi cơ quan tiếp nhận hồ sơ (sau đây gọi tắt là cơ quan tiếp nhận hồ sơ).</w:t>
      </w:r>
    </w:p>
    <w:p w:rsidR="00CF6E20" w:rsidRDefault="00DA5A0E">
      <w:pPr>
        <w:spacing w:after="0" w:line="276" w:lineRule="auto"/>
        <w:jc w:val="both"/>
      </w:pPr>
      <w:r>
        <w:rPr>
          <w:rFonts w:ascii="Times New Roman" w:eastAsia="Times New Roman" w:hAnsi="Times New Roman" w:cs="Times New Roman"/>
          <w:sz w:val="26"/>
        </w:rPr>
        <w:t>Bước 2: Cơ quan tiếp nhận hồ sơ có trách nhiệm kiểm tra tính hợp pháp của hồ sơ. Trường hợp hồ sơ chưa đầy đủ, chưa hợp lệ Ủy ban nhân dân cấp tỉnh có văn bản hướng dẫn hoàn chỉnh hồ sơ; Trong thời hạn 10 ngày, kể từ ngày nhận được hồ sơ đầy đủ, hợp lệ, cơ quan tiếp nhận hồ sơ trình người đứng đầu cơ quan tiếp nhận hồ sơ xem xét quyết định miễn nhiệm, thu hồi thẻ giám định viên pháp y, giám định viên pháp y tâm thần và điều chỉnh danh sách giám định viên trên Cổng thông tin điện tử của Ủy ban nhân dân cấp t</w:t>
      </w:r>
      <w:r>
        <w:rPr>
          <w:rFonts w:ascii="Times New Roman" w:eastAsia="Times New Roman" w:hAnsi="Times New Roman" w:cs="Times New Roman"/>
          <w:sz w:val="26"/>
        </w:rPr>
        <w:t>ỉnh đồng thời gửi Bộ Tư pháp để điều chỉnh danh sách chung về giám định viên tư pháp. Trường hợp không miễn nhiệm thì cơ quan tiếp nhận hồ sơ thông báo cho cơ quan đề nghị bằng văn bản và nêu rõ lý do.</w:t>
      </w:r>
    </w:p>
    <w:p w:rsidR="00CF6E20" w:rsidRDefault="00DA5A0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5"/>
        <w:gridCol w:w="1548"/>
        <w:gridCol w:w="2488"/>
        <w:gridCol w:w="3870"/>
      </w:tblGrid>
      <w:tr w:rsidR="00CF6E20">
        <w:tblPrEx>
          <w:tblCellMar>
            <w:top w:w="0" w:type="dxa"/>
            <w:bottom w:w="0" w:type="dxa"/>
          </w:tblCellMar>
        </w:tblPrEx>
        <w:tc>
          <w:tcPr>
            <w:tcW w:w="15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Hình thức nộp</w:t>
            </w:r>
          </w:p>
        </w:tc>
        <w:tc>
          <w:tcPr>
            <w:tcW w:w="2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Phí, lệ phí</w:t>
            </w:r>
          </w:p>
        </w:tc>
        <w:tc>
          <w:tcPr>
            <w:tcW w:w="3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Mô tả</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Trực tiếp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 Ngày</w:t>
            </w:r>
          </w:p>
        </w:tc>
        <w:tc>
          <w:tcPr>
            <w:tcW w:w="0" w:type="auto"/>
          </w:tcPr>
          <w:p w:rsidR="00CF6E20" w:rsidRDefault="00CF6E20"/>
          <w:p w:rsidR="00CF6E20" w:rsidRDefault="00CF6E20">
            <w:pPr>
              <w:spacing w:after="0" w:line="276" w:lineRule="auto"/>
            </w:pP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 ngày làm việc, kể từ ngày nhận được hồ sơ hợp lệ</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Trực tuyến</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 Ngày</w:t>
            </w:r>
          </w:p>
        </w:tc>
        <w:tc>
          <w:tcPr>
            <w:tcW w:w="0" w:type="auto"/>
          </w:tcPr>
          <w:p w:rsidR="00CF6E20" w:rsidRDefault="00CF6E20"/>
          <w:p w:rsidR="00CF6E20" w:rsidRDefault="00CF6E20">
            <w:pPr>
              <w:spacing w:after="0" w:line="276" w:lineRule="auto"/>
            </w:pP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 ngày làm việc, kể từ ngày nhận được hồ sơ hợp lệ</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 Ngày</w:t>
            </w:r>
          </w:p>
        </w:tc>
        <w:tc>
          <w:tcPr>
            <w:tcW w:w="0" w:type="auto"/>
          </w:tcPr>
          <w:p w:rsidR="00CF6E20" w:rsidRDefault="00CF6E20"/>
          <w:p w:rsidR="00CF6E20" w:rsidRDefault="00CF6E20">
            <w:pPr>
              <w:spacing w:after="0" w:line="276" w:lineRule="auto"/>
            </w:pP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 xml:space="preserve">10 ngày làm việc, kể từ ngày nhận </w:t>
            </w:r>
            <w:r>
              <w:rPr>
                <w:rFonts w:ascii="Times New Roman" w:eastAsia="Times New Roman" w:hAnsi="Times New Roman" w:cs="Times New Roman"/>
                <w:sz w:val="26"/>
              </w:rPr>
              <w:lastRenderedPageBreak/>
              <w:t>được hồ sơ hợp lệ</w:t>
            </w:r>
          </w:p>
        </w:tc>
      </w:tr>
    </w:tbl>
    <w:p w:rsidR="00CF6E20" w:rsidRDefault="00DA5A0E">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CF6E20" w:rsidRDefault="00DA5A0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01"/>
        <w:gridCol w:w="1011"/>
        <w:gridCol w:w="1099"/>
      </w:tblGrid>
      <w:tr w:rsidR="00CF6E20">
        <w:tblPrEx>
          <w:tblCellMar>
            <w:top w:w="0" w:type="dxa"/>
            <w:bottom w:w="0" w:type="dxa"/>
          </w:tblCellMar>
        </w:tblPrEx>
        <w:tc>
          <w:tcPr>
            <w:tcW w:w="6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Tên giấy tờ</w:t>
            </w:r>
          </w:p>
        </w:tc>
        <w:tc>
          <w:tcPr>
            <w:tcW w:w="2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Mẫu đơn, tờ khai</w:t>
            </w:r>
          </w:p>
        </w:tc>
        <w:tc>
          <w:tcPr>
            <w:tcW w:w="2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Số lượng</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 Văn bản đề nghị miễn nhiệm giám định  viên pháp y, giám định viên pháp y tâm thần của cơ quan, tổ chức quản lý hoặc đơn xin miễn nhiệm của giám định viên pháp y, giám định viên pháp y tâm thần;</w:t>
            </w:r>
          </w:p>
        </w:tc>
        <w:tc>
          <w:tcPr>
            <w:tcW w:w="0" w:type="auto"/>
          </w:tcPr>
          <w:p w:rsidR="00CF6E20" w:rsidRDefault="00CF6E20"/>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 Văn bản giấy tờ chứng minh giám  định viên pháp y, giám định viên pháp y tâm thần thuộc một trong các trường hợp bị miễn nhiệm.</w:t>
            </w:r>
          </w:p>
        </w:tc>
        <w:tc>
          <w:tcPr>
            <w:tcW w:w="0" w:type="auto"/>
          </w:tcPr>
          <w:p w:rsidR="00CF6E20" w:rsidRDefault="00CF6E20"/>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CF6E20" w:rsidRDefault="00DA5A0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rsidR="00CF6E20" w:rsidRDefault="00DA5A0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CF6E20" w:rsidRDefault="00DA5A0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F6E20" w:rsidRDefault="00DA5A0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F6E20" w:rsidRDefault="00DA5A0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F6E20" w:rsidRDefault="00DA5A0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F6E20" w:rsidRDefault="00DA5A0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miễn nhiệm giám định viên pháp y, pháp y tâm thần.</w:t>
      </w:r>
    </w:p>
    <w:p w:rsidR="00CF6E20" w:rsidRDefault="00DA5A0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62"/>
        <w:gridCol w:w="872"/>
        <w:gridCol w:w="1369"/>
      </w:tblGrid>
      <w:tr w:rsidR="00CF6E20">
        <w:tblPrEx>
          <w:tblCellMar>
            <w:top w:w="0" w:type="dxa"/>
            <w:bottom w:w="0" w:type="dxa"/>
          </w:tblCellMar>
        </w:tblPrEx>
        <w:tc>
          <w:tcPr>
            <w:tcW w:w="2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Số ký hiệu</w:t>
            </w:r>
          </w:p>
        </w:tc>
        <w:tc>
          <w:tcPr>
            <w:tcW w:w="35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Trích yếu</w:t>
            </w:r>
          </w:p>
        </w:tc>
        <w:tc>
          <w:tcPr>
            <w:tcW w:w="15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Ngày ban hành</w:t>
            </w:r>
          </w:p>
        </w:tc>
        <w:tc>
          <w:tcPr>
            <w:tcW w:w="3000" w:type="dxa"/>
          </w:tcPr>
          <w:p w:rsidR="00CF6E20" w:rsidRDefault="00CF6E20"/>
          <w:p w:rsidR="00CF6E20" w:rsidRDefault="00DA5A0E">
            <w:pPr>
              <w:spacing w:after="0" w:line="276" w:lineRule="auto"/>
              <w:jc w:val="center"/>
            </w:pPr>
            <w:r>
              <w:rPr>
                <w:rFonts w:ascii="Times New Roman" w:eastAsia="Times New Roman" w:hAnsi="Times New Roman" w:cs="Times New Roman"/>
                <w:b/>
                <w:sz w:val="26"/>
              </w:rPr>
              <w:t>Cơ quan ban hành</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85/2013/NĐ-CP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Nghị định 85/2013/NĐ-CP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29-07-2013</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Chính phủ</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lastRenderedPageBreak/>
              <w:t>157/2020/NĐ-CP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lastRenderedPageBreak/>
              <w:t>Nghị định số 157/2020/NĐ-CP ngày 31 tháng 12 năm 2020 của Chính phủ sửa đổi, bổ sung một số điều của Nghị định số 85/2013/NĐ-CP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lastRenderedPageBreak/>
              <w:t>31-12-2020</w:t>
            </w:r>
          </w:p>
        </w:tc>
        <w:tc>
          <w:tcPr>
            <w:tcW w:w="0" w:type="auto"/>
          </w:tcPr>
          <w:p w:rsidR="00CF6E20" w:rsidRDefault="00CF6E20"/>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56/2020/QH14</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Luật sửa đổi, bổ sung một số điều của Luật Giám định tư pháp năm 2020</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10-06-2020</w:t>
            </w:r>
          </w:p>
        </w:tc>
        <w:tc>
          <w:tcPr>
            <w:tcW w:w="0" w:type="auto"/>
          </w:tcPr>
          <w:p w:rsidR="00CF6E20" w:rsidRDefault="00CF6E20"/>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42/2025/NĐ-CP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27-02-2025</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Chính phủ</w:t>
            </w:r>
          </w:p>
        </w:tc>
      </w:tr>
      <w:tr w:rsidR="00CF6E20">
        <w:tblPrEx>
          <w:tblCellMar>
            <w:top w:w="0" w:type="dxa"/>
            <w:bottom w:w="0" w:type="dxa"/>
          </w:tblCellMar>
        </w:tblPrEx>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148/2025/NĐ-CP</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12-06-2025</w:t>
            </w:r>
          </w:p>
        </w:tc>
        <w:tc>
          <w:tcPr>
            <w:tcW w:w="0" w:type="auto"/>
          </w:tcPr>
          <w:p w:rsidR="00CF6E20" w:rsidRDefault="00CF6E20"/>
          <w:p w:rsidR="00CF6E20" w:rsidRDefault="00DA5A0E">
            <w:pPr>
              <w:spacing w:after="0" w:line="276" w:lineRule="auto"/>
            </w:pPr>
            <w:r>
              <w:rPr>
                <w:rFonts w:ascii="Times New Roman" w:eastAsia="Times New Roman" w:hAnsi="Times New Roman" w:cs="Times New Roman"/>
                <w:sz w:val="26"/>
              </w:rPr>
              <w:t>Chính phủ</w:t>
            </w:r>
          </w:p>
        </w:tc>
      </w:tr>
    </w:tbl>
    <w:p w:rsidR="00CF6E20" w:rsidRDefault="00DA5A0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yêu cầu điều kiện</w:t>
      </w:r>
    </w:p>
    <w:p w:rsidR="00CF6E20" w:rsidRDefault="00DA5A0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F6E20" w:rsidRDefault="00DA5A0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https://thutuc.dichvucong.gov.vn/p/home/dvc-tthc-thu-tuc-hanh-chinh-chi-tiet.html?ma_thu_tuc=384606</w:t>
      </w:r>
    </w:p>
    <w:sectPr w:rsidR="00CF6E2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6E20"/>
    <w:rsid w:val="00572832"/>
    <w:rsid w:val="00CF6E20"/>
    <w:rsid w:val="00DA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657906-F157-45B5-8739-3736AB98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