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lưu hành bổ sung do thay đổi quyền sở hữu số đăng ký lưu hành chế phẩm diệt côn trùng, diệt khuẩn dùng trong lĩnh vực gia dụng và y tế .</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đăng ký lưu hành bổ sung nộp hồ sơ đến Cơ quan chuyên môn về y tế thuộc Ủy ban nhân dân cấp tỉnh. 
Bước 2: Sau khi nhận được hồ sơ đăng ký lưu hành bổ sung đầy đủ và phí thẩm định hồ sơ, Cơ quan chuyên môn về y tế thuộc Ủy ban nhân dân cấp tỉnh gửi cho cơ sở đăng ký Phiếu tiếp nhận hồ sơ theo Mẫu số 05 tại Phụ lục III ban hành kèm theo Nghị định số 91/2016/NĐ-CP.
Bước 3: Trong thời hạn 30 ngày, kể từ ngày ghi trên Phiếu tiếp nhận hồ sơ, Cơ quan chuyên môn về y tế thuộc Ủy ban nhân dân cấp tỉnh có trách nhiệm thông báo bằng văn bản cho cơ sở đăng ký lưu hành bổ sung về việc bổ sung, sửa đổi hồ sơ; đồng ý hoặc không đồng ý với nội dung đăng ký lưu hành bổ sung và nêu rõ lý do. 
Bước 4: Trường hợp Cơ quan chuyên môn về y tế thuộc Ủy ban nhân dân cấp tỉnh có văn bản yêu cầu sửa đổi, bổ sung hồ sơ, trong thời hạn 90 ngày kể từ ngày ghi trên văn bản, cơ sở đăng ký lưu hành bổ sung phải hoàn chỉnh hồ sơ, giải trình bằng văn bản và gửi đến Cơ quan chuyên môn về y tế thuộc Ủy ban nhân dân cấp tỉnh. Ngày tiếp nhận hồ sơ bổ sung, sửa đổi được ghi trên Phiếu tiếp nhận hồ sơ. Quá thời hạn trên, hồ sơ đăng ký lưu hành bổ sung sẽ bị hủy bỏ.
Trường hợp cơ sở đăng ký không nộp hồ sơ đúng hạn vì lý do bất khả kháng như: thiên tai, thảm họa, dịch bệnh, hỏa hoạn,… thì được nộp hồ sơ muộn hơn theo quy định nhưng không quá 12 tháng kể từ ngày hết hạn bổ sung hồ sơ kèm theo văn bản giải trình.
Bước 5: Nếu không còn yêu cầu sửa đổi, bổ sung, Cơ quan chuyên môn về y tế thuộc Ủy ban nhân dân cấp tỉnh phải thực hiện việc bổ sung Giấy chứng nhận đăng ký lưu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30 ngày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30 ngày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1.250.000 Đồng</w:t>
            </w:r>
          </w:p>
        </w:tc>
        <w:tc>
          <w:p/>
          <w:p>
            <w:pPr>
              <w:spacing w:after="0" w:before="0" w:lineRule="auto" w:line="276"/>
              <w:jc w:val="left"/>
            </w:pPr>
            <w:r>
              <w:rPr>
                <w:rFonts w:ascii="Times New Roman" w:hAnsi="Times New Roman" w:cs="Times New Roman" w:eastAsia="Times New Roman"/>
                <w:b w:val="false"/>
                <w:sz w:val="26"/>
              </w:rPr>
              <w:t>30 ngày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Giấy ủy quyền thực hiện việc đăng ký lưu hành trừ trường hợp quy định tại điểm a khoản 1 Điều 20 Nghị định số 91/2016/NĐ-CP (Bản gốc Giấy ủy quyền thực hiện việc đăng ký lưu hành. Giấy ủy quyền phải đáp ứng yêu cầu tại Phụ lục VII ban hành kèm theo Nghị định số 129/2024/NĐ-CP).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Văn bản  chuyển quyền sở hữu số đăng ký lưu hành của chủ sở hữu số đăng ký lưu hành (Bản gốc văn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Văn bản tiếp nhận quyền sở hữu số đăng ký lưu hành và cam kết sau khi tiếp nhận số đăng ký lưu hành sẽ tiếp tục đảm bảo việc kinh doanh chế phẩm đúng với hồ sơ đã được Cơ quan chuyên môn về y tế thuộc Ủy ban nhân dân cấp tỉnh phê duyệt (Bản gốc văn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Giấy tờ về  tư cách pháp nhân của cơ sở đăng ký, cơ sở sản xuất (Bản sao hợp lệ giấy tờ về tư cách pháp nhân của cơ sở đăng ký, cơ sở sản xuất hoặc bản sao giấy tờ về tư cách pháp nhân của cơ sở đăng ký, cơ sở sản xuất có đóng dấu của đơn vị được cấp theo quy định tại Nghị định số 129/2024/NĐ-CP).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Mẫu nhãn  mới của chế phẩm (Mẫu nhãn của tất cả các quy cách đóng gói theo kích thước thực có xác nhận của cơ sở đăng ký. Trường hợp nhiều quy cách đóng gói có nhãn thiết kế giống nhau, cơ sở đăng ký nộp nhãn của quy cách đóng gói nhỏ nhất. Trường hợp mẫu nhãn chế phẩm nhập khẩu ghi bằng tiếng nước ngoài thì phải kèm theo nội dung nhãn phụ bằng tiếng Việt. Mẫu nhãn, nội dung nhãn phụ của chế phẩm phải đáp ứng các yêu cầu tại  Phụ lục IX ban hành kèm theo Nghị định số 129/2024/NĐ-CP).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đồng ý hoặc không đồng 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91/2016/NĐ-CP</w:t>
            </w:r>
          </w:p>
        </w:tc>
        <w:tc>
          <w:p/>
          <w:p>
            <w:pPr>
              <w:spacing w:after="0" w:before="0" w:lineRule="auto" w:line="276"/>
              <w:jc w:val="left"/>
            </w:pPr>
            <w:r>
              <w:rPr>
                <w:rFonts w:ascii="Times New Roman" w:hAnsi="Times New Roman" w:cs="Times New Roman" w:eastAsia="Times New Roman"/>
                <w:b w:val="false"/>
                <w:sz w:val="26"/>
              </w:rPr>
              <w:t>Nghị định 91/2016/NĐ-CP-Về quản lý hóa chất, chế phẩm diệt côn trùng, diệt khuẩn dùng trong lĩnh vực gia dụng và y tế</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tc>
      </w:tr>
      <w:tr>
        <w:tc>
          <w:p/>
          <w:p>
            <w:pPr>
              <w:spacing w:after="0" w:before="0" w:lineRule="auto" w:line="276"/>
              <w:jc w:val="left"/>
            </w:pPr>
            <w:r>
              <w:rPr>
                <w:rFonts w:ascii="Times New Roman" w:hAnsi="Times New Roman" w:cs="Times New Roman" w:eastAsia="Times New Roman"/>
                <w:b w:val="false"/>
                <w:sz w:val="26"/>
              </w:rPr>
              <w:t>59/2023/TT-BTC</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30-08-2023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129/2024/NĐ-CP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p/>
          <w:p>
            <w:pPr>
              <w:spacing w:after="0" w:before="0" w:lineRule="auto" w:line="276"/>
              <w:jc w:val="left"/>
            </w:pPr>
            <w:r>
              <w:rPr>
                <w:rFonts w:ascii="Times New Roman" w:hAnsi="Times New Roman" w:cs="Times New Roman" w:eastAsia="Times New Roman"/>
                <w:b w:val="false"/>
                <w:sz w:val="26"/>
              </w:rPr>
              <w:t>10-10-2024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đối với hồ sơ đăng ký lưu hành: 
- Đối với hồ sơ nộp trực tiếp hoặc nộp qua bưu chính công ích: theo quy định tại Điều 26 Nghị định số 91/2016/NĐ-CP được sửa đổi bổ sung tại Nghị định số 155/2018/NĐ-CP và Nghị định số 129/2024/NĐ-CP.
- Đối với hồ sơ đăng ký trực tuyến: theo quy định tại Điều 52 Nghị định số 91/2016/NĐ-CP.
Điều kiện đối với chế phẩm đăng ký lưu hành: theo quy định tại Điều 19 Nghị định số 91/2016/NĐ-CP.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2025-12-02T12:22:48Z</dcterms:created>
  <dc:creator>Apache POI</dc:creator>
</cp:coreProperties>
</file>