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80A" w:rsidRDefault="005B1D34">
      <w:pPr>
        <w:spacing w:after="300" w:line="276" w:lineRule="auto"/>
        <w:jc w:val="center"/>
      </w:pPr>
      <w:r>
        <w:rPr>
          <w:rFonts w:ascii="Times New Roman" w:eastAsia="Times New Roman" w:hAnsi="Times New Roman" w:cs="Times New Roman"/>
          <w:b/>
          <w:sz w:val="26"/>
        </w:rPr>
        <w:t>Chi tiết thủ tục hành chính</w:t>
      </w:r>
    </w:p>
    <w:p w:rsidR="0099280A" w:rsidRDefault="005B1D3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1.013890</w:t>
      </w:r>
    </w:p>
    <w:p w:rsidR="0099280A" w:rsidRDefault="005B1D3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rsidR="0099280A" w:rsidRDefault="005B1D3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đủ điều kiện thực hiện hoạt động quan trắc môi trường lao động</w:t>
      </w:r>
    </w:p>
    <w:p w:rsidR="0099280A" w:rsidRDefault="005B1D3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9280A" w:rsidRDefault="005B1D3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9280A" w:rsidRDefault="005B1D3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99280A" w:rsidRDefault="005B1D34">
      <w:pPr>
        <w:spacing w:after="0" w:line="276" w:lineRule="auto"/>
        <w:jc w:val="both"/>
      </w:pPr>
      <w:r>
        <w:rPr>
          <w:rFonts w:ascii="Times New Roman" w:eastAsia="Times New Roman" w:hAnsi="Times New Roman" w:cs="Times New Roman"/>
          <w:b/>
          <w:sz w:val="26"/>
        </w:rPr>
        <w:t xml:space="preserve">Trình tự thực hiện: </w:t>
      </w:r>
    </w:p>
    <w:p w:rsidR="0099280A" w:rsidRDefault="0099280A">
      <w:pPr>
        <w:shd w:val="clear" w:color="auto" w:fill="F2F6F9"/>
        <w:spacing w:before="120" w:after="0" w:line="276" w:lineRule="auto"/>
        <w:jc w:val="both"/>
      </w:pPr>
    </w:p>
    <w:p w:rsidR="0099280A" w:rsidRDefault="005B1D34">
      <w:pPr>
        <w:spacing w:after="0" w:line="276" w:lineRule="auto"/>
        <w:jc w:val="both"/>
      </w:pPr>
      <w:r>
        <w:rPr>
          <w:rFonts w:ascii="Times New Roman" w:eastAsia="Times New Roman" w:hAnsi="Times New Roman" w:cs="Times New Roman"/>
          <w:sz w:val="26"/>
        </w:rPr>
        <w:t>Bước 1. Trước khi thực hiện quan trắc môi trường lao động, người đứng đầu tổ chức thực hiện quan trắc môi trường lao động (kể cả đối với các tổ chức thuộc quản lý của các Bộ, ngành) gửi Cơ quan chuyên môn về y tế thuộc Ủy ban nhân dân cấp tỉnh hồ sơ công bố đủ điều kiện thực hiện quan trắc môi trường lao động theo quy định. Bước 2. Trong thời gian 30 ngày, kể từ ngày tiếp nhận hồ sơ, cơ quan tiếp nhận hồ sơ công bố đủ điều kiện quan trắc môi trường lao động trên Cổng thông tin điện tử của đơn vị. Trường hợp</w:t>
      </w:r>
      <w:r>
        <w:rPr>
          <w:rFonts w:ascii="Times New Roman" w:eastAsia="Times New Roman" w:hAnsi="Times New Roman" w:cs="Times New Roman"/>
          <w:sz w:val="26"/>
        </w:rPr>
        <w:t xml:space="preserve"> không bảo đảm điều kiện thì trả lời bằng văn bản và nêu rõ lý do.</w:t>
      </w:r>
    </w:p>
    <w:p w:rsidR="0099280A" w:rsidRDefault="005B1D3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44"/>
        <w:gridCol w:w="1586"/>
        <w:gridCol w:w="2573"/>
        <w:gridCol w:w="3708"/>
      </w:tblGrid>
      <w:tr w:rsidR="0099280A">
        <w:tblPrEx>
          <w:tblCellMar>
            <w:top w:w="0" w:type="dxa"/>
            <w:bottom w:w="0" w:type="dxa"/>
          </w:tblCellMar>
        </w:tblPrEx>
        <w:tc>
          <w:tcPr>
            <w:tcW w:w="15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Hình thức nộp</w:t>
            </w:r>
          </w:p>
        </w:tc>
        <w:tc>
          <w:tcPr>
            <w:tcW w:w="2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Phí, lệ phí</w:t>
            </w:r>
          </w:p>
        </w:tc>
        <w:tc>
          <w:tcPr>
            <w:tcW w:w="3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Mô tả</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Trực tiếp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w:t>
            </w:r>
          </w:p>
        </w:tc>
        <w:tc>
          <w:tcPr>
            <w:tcW w:w="0" w:type="auto"/>
          </w:tcPr>
          <w:p w:rsidR="0099280A" w:rsidRDefault="0099280A"/>
          <w:p w:rsidR="0099280A" w:rsidRDefault="0099280A">
            <w:pPr>
              <w:spacing w:after="0" w:line="276" w:lineRule="auto"/>
            </w:pP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 kể từ ngày nhận đủ hồ sơ theo quy định.</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Trực tuyến</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w:t>
            </w:r>
          </w:p>
        </w:tc>
        <w:tc>
          <w:tcPr>
            <w:tcW w:w="0" w:type="auto"/>
          </w:tcPr>
          <w:p w:rsidR="0099280A" w:rsidRDefault="0099280A"/>
          <w:p w:rsidR="0099280A" w:rsidRDefault="0099280A">
            <w:pPr>
              <w:spacing w:after="0" w:line="276" w:lineRule="auto"/>
            </w:pP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 kể từ ngày nhận đủ hồ sơ theo quy định.</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Dịch vụ bưu chính</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w:t>
            </w:r>
          </w:p>
        </w:tc>
        <w:tc>
          <w:tcPr>
            <w:tcW w:w="0" w:type="auto"/>
          </w:tcPr>
          <w:p w:rsidR="0099280A" w:rsidRDefault="0099280A"/>
          <w:p w:rsidR="0099280A" w:rsidRDefault="0099280A">
            <w:pPr>
              <w:spacing w:after="0" w:line="276" w:lineRule="auto"/>
            </w:pP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30 ngày kể từ ngày nhận đủ hồ sơ theo quy định.</w:t>
            </w:r>
          </w:p>
        </w:tc>
      </w:tr>
    </w:tbl>
    <w:p w:rsidR="0099280A" w:rsidRDefault="005B1D34">
      <w:pPr>
        <w:spacing w:before="240" w:after="0" w:line="276" w:lineRule="auto"/>
        <w:jc w:val="both"/>
      </w:pPr>
      <w:r>
        <w:rPr>
          <w:rFonts w:ascii="Times New Roman" w:eastAsia="Times New Roman" w:hAnsi="Times New Roman" w:cs="Times New Roman"/>
          <w:b/>
          <w:sz w:val="26"/>
        </w:rPr>
        <w:t xml:space="preserve">Thành phần hồ sơ: </w:t>
      </w:r>
    </w:p>
    <w:p w:rsidR="0099280A" w:rsidRDefault="005B1D3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26"/>
        <w:gridCol w:w="1518"/>
        <w:gridCol w:w="1067"/>
      </w:tblGrid>
      <w:tr w:rsidR="0099280A">
        <w:tblPrEx>
          <w:tblCellMar>
            <w:top w:w="0" w:type="dxa"/>
            <w:bottom w:w="0" w:type="dxa"/>
          </w:tblCellMar>
        </w:tblPrEx>
        <w:tc>
          <w:tcPr>
            <w:tcW w:w="6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Tên giấy tờ</w:t>
            </w:r>
          </w:p>
        </w:tc>
        <w:tc>
          <w:tcPr>
            <w:tcW w:w="2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Mẫu đơn, tờ khai</w:t>
            </w:r>
          </w:p>
        </w:tc>
        <w:tc>
          <w:tcPr>
            <w:tcW w:w="2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Số lượng</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Đơn đề nghị công bố đủ điều kiện quan trắc môi trường lao động  theo Mẫu số 01 quy định tại Phụ lục III ban hành kèm theo Nghị định số 44/2016/NĐ-CP ngày 15/5/2016 của Chính phủ;</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Mus01.docx</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Hồ sơ công bố đủ điều kiện quan trắc môi trường lao động theo  Mẫu số 02 quy định tại Phụ lục III ban hành kèm theo Nghị định số 44/2016/NĐ-CP ngày 15/5/2016 của Chính phủ.</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Mus02.docx</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9280A" w:rsidRDefault="005B1D3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99280A" w:rsidRDefault="005B1D3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rsidR="0099280A" w:rsidRDefault="005B1D3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9280A" w:rsidRDefault="005B1D3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9280A" w:rsidRDefault="005B1D3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9280A" w:rsidRDefault="005B1D3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9280A" w:rsidRDefault="005B1D3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Tổ chức được Bộ Y tế công bố đủ điều kiện quan trắc môi trường lao động trên cổng thông tin điện tử của Ủy ban nhân dân cấp tỉnh</w:t>
      </w:r>
    </w:p>
    <w:p w:rsidR="0099280A" w:rsidRDefault="005B1D3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6"/>
        <w:gridCol w:w="5308"/>
        <w:gridCol w:w="910"/>
        <w:gridCol w:w="1467"/>
      </w:tblGrid>
      <w:tr w:rsidR="0099280A">
        <w:tblPrEx>
          <w:tblCellMar>
            <w:top w:w="0" w:type="dxa"/>
            <w:bottom w:w="0" w:type="dxa"/>
          </w:tblCellMar>
        </w:tblPrEx>
        <w:tc>
          <w:tcPr>
            <w:tcW w:w="2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Số ký hiệu</w:t>
            </w:r>
          </w:p>
        </w:tc>
        <w:tc>
          <w:tcPr>
            <w:tcW w:w="35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Trích yếu</w:t>
            </w:r>
          </w:p>
        </w:tc>
        <w:tc>
          <w:tcPr>
            <w:tcW w:w="15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Ngày ban hành</w:t>
            </w:r>
          </w:p>
        </w:tc>
        <w:tc>
          <w:tcPr>
            <w:tcW w:w="3000" w:type="dxa"/>
          </w:tcPr>
          <w:p w:rsidR="0099280A" w:rsidRDefault="0099280A"/>
          <w:p w:rsidR="0099280A" w:rsidRDefault="005B1D34">
            <w:pPr>
              <w:spacing w:after="0" w:line="276" w:lineRule="auto"/>
              <w:jc w:val="center"/>
            </w:pPr>
            <w:r>
              <w:rPr>
                <w:rFonts w:ascii="Times New Roman" w:eastAsia="Times New Roman" w:hAnsi="Times New Roman" w:cs="Times New Roman"/>
                <w:b/>
                <w:sz w:val="26"/>
              </w:rPr>
              <w:t>Cơ quan ban hành</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140/2018/NĐ-CP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Nghị định 140/2018/NĐ-CP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08-10-2018</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Chính phủ</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84/2015/QH13</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An toàn, vệ sinh lao động</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25-06-2015</w:t>
            </w:r>
          </w:p>
        </w:tc>
        <w:tc>
          <w:tcPr>
            <w:tcW w:w="0" w:type="auto"/>
          </w:tcPr>
          <w:p w:rsidR="0099280A" w:rsidRDefault="0099280A"/>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44/2016/NĐ-CP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Nghị định</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15-05-2016</w:t>
            </w:r>
          </w:p>
        </w:tc>
        <w:tc>
          <w:tcPr>
            <w:tcW w:w="0" w:type="auto"/>
          </w:tcPr>
          <w:p w:rsidR="0099280A" w:rsidRDefault="0099280A"/>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42/2025/NĐ-CP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 xml:space="preserve">Nghị định số 42/2025/NĐ-CP của Chính phủ: Quy </w:t>
            </w:r>
            <w:r>
              <w:rPr>
                <w:rFonts w:ascii="Times New Roman" w:eastAsia="Times New Roman" w:hAnsi="Times New Roman" w:cs="Times New Roman"/>
                <w:sz w:val="26"/>
              </w:rPr>
              <w:lastRenderedPageBreak/>
              <w:t>định chức năng, nhiệm vụ, quyền hạn và cơ cấu tổ chức của Bộ Y tế</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27-02-</w:t>
            </w:r>
            <w:r>
              <w:rPr>
                <w:rFonts w:ascii="Times New Roman" w:eastAsia="Times New Roman" w:hAnsi="Times New Roman" w:cs="Times New Roman"/>
                <w:sz w:val="26"/>
              </w:rPr>
              <w:lastRenderedPageBreak/>
              <w:t>2025</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Chính phủ</w:t>
            </w:r>
          </w:p>
        </w:tc>
      </w:tr>
      <w:tr w:rsidR="0099280A">
        <w:tblPrEx>
          <w:tblCellMar>
            <w:top w:w="0" w:type="dxa"/>
            <w:bottom w:w="0" w:type="dxa"/>
          </w:tblCellMar>
        </w:tblPrEx>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148/2025/NĐ-CP</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12-06-2025</w:t>
            </w:r>
          </w:p>
        </w:tc>
        <w:tc>
          <w:tcPr>
            <w:tcW w:w="0" w:type="auto"/>
          </w:tcPr>
          <w:p w:rsidR="0099280A" w:rsidRDefault="0099280A"/>
          <w:p w:rsidR="0099280A" w:rsidRDefault="005B1D34">
            <w:pPr>
              <w:spacing w:after="0" w:line="276" w:lineRule="auto"/>
            </w:pPr>
            <w:r>
              <w:rPr>
                <w:rFonts w:ascii="Times New Roman" w:eastAsia="Times New Roman" w:hAnsi="Times New Roman" w:cs="Times New Roman"/>
                <w:sz w:val="26"/>
              </w:rPr>
              <w:t>Chính phủ</w:t>
            </w:r>
          </w:p>
        </w:tc>
      </w:tr>
    </w:tbl>
    <w:p w:rsidR="0099280A" w:rsidRDefault="005B1D3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hoạt động quan trắc môi trường lao động bảo đảm điều kiện sau đây: 1. Đơn vị sự nghiệp hoặc doanh nghiệp cung ứng dịch vụ quan trắc môi trường lao động. 2. Có đủ nhân lực thực hiện hoạt động quan trắc môi trường lao động như sau: a) Người trực tiếp phụ trách quan trắc môi trường lao động có trình độ như sau: - Trình độ từ đại học trở lên thuộc lĩnh vực y tế, môi trường, hóa sinh; - Có tối thiểu 02 năm kinh nghiệm trong lĩnh vực quan trắc môi trường lao động hoặc 03 năm kinh nghiệm trong lĩnh vực y h</w:t>
      </w:r>
      <w:r>
        <w:rPr>
          <w:rFonts w:ascii="Times New Roman" w:eastAsia="Times New Roman" w:hAnsi="Times New Roman" w:cs="Times New Roman"/>
          <w:sz w:val="26"/>
        </w:rPr>
        <w:t>ọc dự phòng; - Có chứng chỉ đào tạo về quan trắc môi trường lao động. b) Có ít nhất 05 người làm việc theo hợp đồng có thời hạn từ 12 tháng trở lên hoặc hợp đồng không xác định thời hạn có trình độ như sau: - Trình độ chuyên môn từ trung cấp trở lên thuộc các lĩnh vực y tế, môi trường, hóa sinh; - Có chứng chỉ đào tạo về quan trắc môi trường lao động. 3. Có cơ sở vật chất, trang thiết bị, dụng cụ, hóa chất và năng lực bảo đảm yêu cầu tối thiểu như sau: a) Quan trắc yếu tố có hại trong môi trường lao động Đả</w:t>
      </w:r>
      <w:r>
        <w:rPr>
          <w:rFonts w:ascii="Times New Roman" w:eastAsia="Times New Roman" w:hAnsi="Times New Roman" w:cs="Times New Roman"/>
          <w:sz w:val="26"/>
        </w:rPr>
        <w:t>m bảo thực hiện được tối thiểu 70% yếu tố sau đây: - Đo, thử nghiệm, phân tích tại hiện trường và trong phòng thí nghiệm các yếu tố vi khí hậu, bao gồm: nhiệt độ, độ ẩm, tốc độ gió và bức xạ nhiệt; - Đo, thử nghiệm, phân tích tại hiện trường và trong phòng thí nghiệm yếu tố vật lý, bao gồm: ánh sáng, tiếng ồn, rung theo dải tần, phóng xạ, điện từ trường, bức xạ tử ngoại; - Đánh giá yếu tố tiếp xúc nghề nghiệp, bao gồm: yếu tố vi sinh vật, gây dị ứng, mẫn cảm, dung môi; - Đánh giá gánh nặng lao động và một s</w:t>
      </w:r>
      <w:r>
        <w:rPr>
          <w:rFonts w:ascii="Times New Roman" w:eastAsia="Times New Roman" w:hAnsi="Times New Roman" w:cs="Times New Roman"/>
          <w:sz w:val="26"/>
        </w:rPr>
        <w:t>ố chỉ tiêu tâm sinh lý lao động Ec-gô-nô-my: Đánh giá gánh nặng lao động thể lực; đánh giá căng thẳng thần kinh tâm lý; đánh giá Ec-gô-nô-my vị trí lao động; - Lấy mẫu, bảo quản, đo, thử nghiệm tại hiện trường và phân tích trong phòng thí nghiệm của bụi hạt, phân tích hàm lượng silic trong bụi, bụi kim loại, bụi than, bụi talc, bụi bông và bụi amiăng; - Lấy mẫu, bảo quản, đo, thử nghiệm tại hiện trường và phân tích trong phòng thí nghiệm của các yếu tố hóa học tối thiểu bao gồm NOx, SOx, CO, CO2, dung môi h</w:t>
      </w:r>
      <w:r>
        <w:rPr>
          <w:rFonts w:ascii="Times New Roman" w:eastAsia="Times New Roman" w:hAnsi="Times New Roman" w:cs="Times New Roman"/>
          <w:sz w:val="26"/>
        </w:rPr>
        <w:t>ữu cơ (benzen và đồng đẳng - toluen, xylen), thủy ngân, asen, TNT, nicotin, hóa chất trừ sâu. b) Có kế hoạch và quy trình bảo quản, sử dụng an toàn, bảo dưỡng và kiểm định, hiệu chuẩn thiết bị theo quy định của cơ quan nhà nước có thẩm quyền hoặc quy định của nhà sản xuất nếu cơ quan nhà nước có thẩm quyền không quy định; c) Có quy trình sử dụng, vận hành thiết bị lấy và bảo quản mẫu, đo, thử nghiệm và phân tích môi trường lao động; d) Có trụ sở làm việc, đủ diện tích để bảo đảm chất lượng công tác quan trắ</w:t>
      </w:r>
      <w:r>
        <w:rPr>
          <w:rFonts w:ascii="Times New Roman" w:eastAsia="Times New Roman" w:hAnsi="Times New Roman" w:cs="Times New Roman"/>
          <w:sz w:val="26"/>
        </w:rPr>
        <w:t>c môi trường lao động, điều kiện phòng thí nghiệm phải đạt yêu cầu về chất lượng trong bảo quản, xử lý, phân tích mẫu; đ) Trang bị đầy đủ phương tiện bảo vệ cá nhân khi thực hiện quan trắc môi trường lao động; e) Có biện pháp bảo đảm vệ sinh công nghiệp, an toàn phòng cháy, chữa cháy, an toàn sinh học, an toàn hóa học và tuân thủ nghiêm ngặt việc thu gom, vận chuyển bảo quản và xử lý chất thải theo đúng quy định của pháp luật. Yêu cầu về hồ sơ:  - Bảo đảm hồ sơ và nội dung giấy tờ như hồ sơ bằng bản giấy và</w:t>
      </w:r>
      <w:r>
        <w:rPr>
          <w:rFonts w:ascii="Times New Roman" w:eastAsia="Times New Roman" w:hAnsi="Times New Roman" w:cs="Times New Roman"/>
          <w:sz w:val="26"/>
        </w:rPr>
        <w:t xml:space="preserve"> được chuyển sang dạng văn bản điện tử. Tên văn bản điện tử phải được đặt tương ứng với tên loại giấy tờ trong hồ sơ bằng bản giấy;  - Thông tin văn bản đề nghị công bố, hồ sơ công bố phải đầy đủ và chính xác theo thông tin văn bản điện tử;  - Tổ chức đề nghị công bố đủ điều kiện quan trắc môi trường lao động trực tuyến phải thực hiện lưu giữ hồ sơ bằng bản giấy.</w:t>
      </w:r>
    </w:p>
    <w:p w:rsidR="0099280A" w:rsidRDefault="005B1D3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9280A" w:rsidRDefault="005B1D3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https://thutuc.dichvucong.gov.vn/p/home/dvc-tthc-thu-tuc-hanh-chinh-chi-tiet.html?ma_thu_tuc=384628</w:t>
      </w:r>
    </w:p>
    <w:sectPr w:rsidR="009928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280A"/>
    <w:rsid w:val="005B1D34"/>
    <w:rsid w:val="008C63B0"/>
    <w:rsid w:val="0099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59C4C0-0DBC-4452-8C0D-5932AA03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