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1.013893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2495/QĐ-BYT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cơ sở xét nghiệm đạt tiêu chuẩn an toàn sinh học cấp III do bị hỏng, bị mất.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xét nghiệm phải gửi Đơn đề nghị cấp lại Giấy chứng nhận an toàn sinh học theo Mẫu số 05 tại Phụ lục ban hành kèm theo Nghị định số 103/2016/NĐ-CP kèm theo hồ sơ đến cơ quan chuyên môn về y tế thuộc Ủy ban nhân dân cấp tỉnh (cơ quan tiếp nhận hồ sơ) chậm nhất là 60 ngày, trước khi Giấy chứng nhận đạt tiêu chuẩn an toàn sinh học hết hiệu lực. Trường hợp quá thời hạn trên mà chưa nộp hồ sơ đề nghị cấp lại Giấy chứng nhận an toàn sinh học thì phải thực hiện theo thủ tục cấp mới Giấy chứng nhận an toàn sinh học.
Bước 2. Khi nhận được hồ sơ hợp lệ, cơ quan tiếp nhận hồ sơ cấp phiếu tiếp nhận hồ sơ theo Mẫu số 06 tại Phụ lục ban hành kèm theo Nghị định số 103/2016/NĐ-CP.
Bước 3: Trong thời hạn 10 (mười) ngày, kể từ ngày tiếp nhận hồ sơ, cơ quan tiếp nhận hồ sơ phải tiến hành thẩm định hồ sơ và kiểm tra hồ sơ thẩm định đã cấp Giấy chứng nhận an toàn sinh học trước đó.
Bước 4. Trường hợp hồ sơ chưa đầy đủ thì trong thời gian 05 (năm) ngày làm việc kể từ ngày thẩm định hồ sơ, cơ quan tiếp nhận hồ sơ phải thông báo bằng văn bản cho cơ sở đề nghị cấp lại giấy chứng nhận để hoàn chỉnh hồ sơ. Văn bản thông báo phải nêu cụ thể những nội dung cần bổ sung, nội dung cần sửa đổi. Cơ sở đề nghị cấp giấy chứng nhận phải bổ sung, sửa đổi theo đúng những nội dung đã được ghi trong văn bản và gửi về cơ quan tiếp nhận hồ sơ.
Trong trường hợp cần thiết thì tiến hành thẩm định tại phòng xét nghiệm trong vòng 10 (mười) ngày kể từ ngày thẩm định hồ sơ. Trường hợp hồ sơ đầy đủ và cơ sở xét nghiệm đáp ứng đầy đủ các điều kiện theo biên bản thẩm định tại cơ sở xét nghiệm, cơ quan tiếp nhận hồ sơ báo cáo người đứng đầu cơ quan tiếp nhận hồ sơ cấp lại Giấy chứng nhận an toàn sinh học trong thời hạn 07 (bảy) ngày làm việc, kể từ ngày thẩm định tại phòng xét nghiệm.
Trong trường hợp hồ sơ đầy đủ và không thẩm định tại cơ sở xét nghiệm, thì phải cấp lại Giấy chứng nhận an toàn sinh học theo Mẫu số 07 tại Phụ lục ban hành kèm theo Nghị định số 103/2016/NĐ-CP trong vòng 10 (mười) ngày, kể từ ngày thẩm định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27 Ngày làm việc</w:t>
            </w:r>
          </w:p>
        </w:tc>
        <w:tc>
          <w:p/>
          <w:p>
            <w:pPr>
              <w:spacing w:after="0" w:before="0" w:lineRule="auto" w:line="276"/>
              <w:jc w:val="left"/>
            </w:pPr>
            <w:r>
              <w:rPr>
                <w:rFonts w:ascii="Times New Roman" w:hAnsi="Times New Roman" w:cs="Times New Roman" w:eastAsia="Times New Roman"/>
                <w:b w:val="false"/>
                <w:sz w:val="26"/>
              </w:rPr>
              <w:t>Phí : 4.500.000 Đồng</w:t>
              <w:t xml:space="preserve"> ((Theo quy định tại Thông tư số 59/2023/TT-BTC ngày 30/8/2023 của Bộ Tài chính quy định mức thu, chế độ thu, nộp, quản lý và sử dụng phí trong lĩnh vực y tế))</w:t>
            </w:r>
          </w:p>
        </w:tc>
        <w:tc>
          <w:p/>
          <w:p>
            <w:pPr>
              <w:spacing w:after="0" w:before="0" w:lineRule="auto" w:line="276"/>
              <w:jc w:val="left"/>
            </w:pPr>
            <w:r>
              <w:rPr>
                <w:rFonts w:ascii="Times New Roman" w:hAnsi="Times New Roman" w:cs="Times New Roman" w:eastAsia="Times New Roman"/>
                <w:b w:val="false"/>
                <w:sz w:val="26"/>
              </w:rPr>
              <w:t>Trường hợp 1: Có thẩm định tại phòng xét nghiệm
27 ngày làm việc kể từ ngày nhận hồ sơ đầy đủ và hợp lệ</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t>Phí : 4.500.000 Đồng</w:t>
              <w:t xml:space="preserve"> (Theo quy định tại Thông tư số 59/2023/TT-BTC ngày 30/8/2023 của Bộ Tài chính quy định mức thu, chế độ thu, nộp, quản lý và sử dụng phí trong lĩnh vực y tế)</w:t>
            </w:r>
          </w:p>
        </w:tc>
        <w:tc>
          <w:p/>
          <w:p>
            <w:pPr>
              <w:spacing w:after="0" w:before="0" w:lineRule="auto" w:line="276"/>
              <w:jc w:val="left"/>
            </w:pPr>
            <w:r>
              <w:rPr>
                <w:rFonts w:ascii="Times New Roman" w:hAnsi="Times New Roman" w:cs="Times New Roman" w:eastAsia="Times New Roman"/>
                <w:b w:val="false"/>
                <w:sz w:val="26"/>
              </w:rPr>
              <w:t>Trường hợp 2: Không thẩm định tại phòng xét nghiệm
17 ngày làm việc kể từ ngày nhận hồ sơ đầy đủ và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27 Ngày làm việc</w:t>
            </w:r>
          </w:p>
        </w:tc>
        <w:tc>
          <w:p/>
          <w:p>
            <w:pPr>
              <w:spacing w:after="0" w:before="0" w:lineRule="auto" w:line="276"/>
              <w:jc w:val="left"/>
            </w:pPr>
            <w:r>
              <w:rPr>
                <w:rFonts w:ascii="Times New Roman" w:hAnsi="Times New Roman" w:cs="Times New Roman" w:eastAsia="Times New Roman"/>
                <w:b w:val="false"/>
                <w:sz w:val="26"/>
              </w:rPr>
              <w:t>Phí : 4.500.000 Đồng</w:t>
              <w:t xml:space="preserve"> ((Theo quy định tại Thông tư số 59/2023/TT-BTC ngày 30/8/2023 của Bộ Tài chính quy định mức thu, chế độ thu, nộp, quản lý và sử dụng phí trong lĩnh vực y tế))</w:t>
            </w:r>
          </w:p>
        </w:tc>
        <w:tc>
          <w:p/>
          <w:p>
            <w:pPr>
              <w:spacing w:after="0" w:before="0" w:lineRule="auto" w:line="276"/>
              <w:jc w:val="left"/>
            </w:pPr>
            <w:r>
              <w:rPr>
                <w:rFonts w:ascii="Times New Roman" w:hAnsi="Times New Roman" w:cs="Times New Roman" w:eastAsia="Times New Roman"/>
                <w:b w:val="false"/>
                <w:sz w:val="26"/>
              </w:rPr>
              <w:t>Trường hợp 1: Có thẩm định tại phòng xét nghiệm
27 ngày làm việc kể từ ngày nhận hồ sơ đầy đủ và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t>Phí : 4.500.000 Đồng</w:t>
              <w:t xml:space="preserve"> (Theo quy định tại Thông tư số 59/2023/TT-BTC ngày 30/8/2023 của Bộ Tài chính quy định mức thu, chế độ thu, nộp, quản lý và sử dụng phí trong lĩnh vực y tế)</w:t>
            </w:r>
          </w:p>
        </w:tc>
        <w:tc>
          <w:p/>
          <w:p>
            <w:pPr>
              <w:spacing w:after="0" w:before="0" w:lineRule="auto" w:line="276"/>
              <w:jc w:val="left"/>
            </w:pPr>
            <w:r>
              <w:rPr>
                <w:rFonts w:ascii="Times New Roman" w:hAnsi="Times New Roman" w:cs="Times New Roman" w:eastAsia="Times New Roman"/>
                <w:b w:val="false"/>
                <w:sz w:val="26"/>
              </w:rPr>
              <w:t>Trường hợp 2: Không thẩm định tại phòng xét nghiệm
17 ngày làm việc kể từ ngày nhận hồ sơ đầy đủ và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27 Ngày làm việc</w:t>
            </w:r>
          </w:p>
        </w:tc>
        <w:tc>
          <w:p/>
          <w:p>
            <w:pPr>
              <w:spacing w:after="0" w:before="0" w:lineRule="auto" w:line="276"/>
              <w:jc w:val="left"/>
            </w:pPr>
            <w:r>
              <w:rPr>
                <w:rFonts w:ascii="Times New Roman" w:hAnsi="Times New Roman" w:cs="Times New Roman" w:eastAsia="Times New Roman"/>
                <w:b w:val="false"/>
                <w:sz w:val="26"/>
              </w:rPr>
              <w:t>Phí : 4.500.000 Đồng</w:t>
              <w:t xml:space="preserve"> ((Theo quy định tại Thông tư số 59/2023/TT-BTC ngày 30/8/2023 của Bộ Tài chính quy định mức thu, chế độ thu, nộp, quản lý và sử dụng phí trong lĩnh vực y tế))</w:t>
            </w:r>
          </w:p>
        </w:tc>
        <w:tc>
          <w:p/>
          <w:p>
            <w:pPr>
              <w:spacing w:after="0" w:before="0" w:lineRule="auto" w:line="276"/>
              <w:jc w:val="left"/>
            </w:pPr>
            <w:r>
              <w:rPr>
                <w:rFonts w:ascii="Times New Roman" w:hAnsi="Times New Roman" w:cs="Times New Roman" w:eastAsia="Times New Roman"/>
                <w:b w:val="false"/>
                <w:sz w:val="26"/>
              </w:rPr>
              <w:t>Trường hợp 1: Có thẩm định tại phòng xét nghiệm
27 ngày làm việc kể từ ngày nhận hồ sơ đầy đủ và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t>Phí : 4.500.000 Đồng</w:t>
              <w:t xml:space="preserve"> (Theo quy định tại Thông tư số 59/2023/TT-BTC ngày 30/8/2023 của Bộ Tài chính quy định mức thu, chế độ thu, nộp, quản lý và sử dụng phí trong lĩnh vực y tế)</w:t>
            </w:r>
          </w:p>
        </w:tc>
        <w:tc>
          <w:p/>
          <w:p>
            <w:pPr>
              <w:spacing w:after="0" w:before="0" w:lineRule="auto" w:line="276"/>
              <w:jc w:val="left"/>
            </w:pPr>
            <w:r>
              <w:rPr>
                <w:rFonts w:ascii="Times New Roman" w:hAnsi="Times New Roman" w:cs="Times New Roman" w:eastAsia="Times New Roman"/>
                <w:b w:val="false"/>
                <w:sz w:val="26"/>
              </w:rPr>
              <w:t>Trường hợp 2: Không thẩm định tại phòng xét nghiệm
17 ngày làm việc kể từ ngày nhận hồ sơ đầy đủ và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giấy chứng nhận an toàn sinh học theo Mẫu số 05 tại Phụ lục ban hành kèm theo Nghị định số 103/2016/NĐ-CP</w:t>
            </w:r>
          </w:p>
        </w:tc>
        <w:tc>
          <w:p/>
          <w:p>
            <w:pPr>
              <w:spacing w:after="0" w:before="0" w:lineRule="auto" w:line="276"/>
              <w:jc w:val="left"/>
            </w:pPr>
            <w:r>
              <w:rPr>
                <w:rFonts w:ascii="Times New Roman" w:hAnsi="Times New Roman" w:cs="Times New Roman" w:eastAsia="Times New Roman"/>
                <w:b w:val="false"/>
                <w:sz w:val="26"/>
              </w:rPr>
              <w:t>Maudon.docx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cơ sở xét nghiệm đạt tiêu chuẩn an toàn sinh học cấp III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03/2007/QH12</w:t>
            </w:r>
          </w:p>
        </w:tc>
        <w:tc>
          <w:p/>
          <w:p>
            <w:pPr>
              <w:spacing w:after="0" w:before="0" w:lineRule="auto" w:line="276"/>
              <w:jc w:val="left"/>
            </w:pPr>
            <w:r>
              <w:rPr>
                <w:rFonts w:ascii="Times New Roman" w:hAnsi="Times New Roman" w:cs="Times New Roman" w:eastAsia="Times New Roman"/>
                <w:b w:val="false"/>
                <w:sz w:val="26"/>
              </w:rPr>
              <w:t>Luật 03/2007/QH12 Phòng, chống bệnh truyền nhiễm</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103/2016/NĐ-CP</w:t>
            </w:r>
          </w:p>
        </w:tc>
        <w:tc>
          <w:p/>
          <w:p>
            <w:pPr>
              <w:spacing w:after="0" w:before="0" w:lineRule="auto" w:line="276"/>
              <w:jc w:val="left"/>
            </w:pPr>
            <w:r>
              <w:rPr>
                <w:rFonts w:ascii="Times New Roman" w:hAnsi="Times New Roman" w:cs="Times New Roman" w:eastAsia="Times New Roman"/>
                <w:b w:val="false"/>
                <w:sz w:val="26"/>
              </w:rPr>
              <w:t>Nghị định 103/2016/NĐ-CP Quy định về bảo đảm an toàn sinh học tại phòng xét nghiệm</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155/2018/NĐ-CP</w:t>
            </w:r>
          </w:p>
        </w:tc>
        <w:tc>
          <w:p/>
          <w:p>
            <w:pPr>
              <w:spacing w:after="0" w:before="0" w:lineRule="auto" w:line="276"/>
              <w:jc w:val="left"/>
            </w:pPr>
            <w:r>
              <w:rPr>
                <w:rFonts w:ascii="Times New Roman" w:hAnsi="Times New Roman" w:cs="Times New Roman" w:eastAsia="Times New Roman"/>
                <w:b w:val="false"/>
                <w:sz w:val="26"/>
              </w:rPr>
              <w:t>Nghị định 155/2018/NĐ-CP</w:t>
            </w:r>
          </w:p>
        </w:tc>
        <w:tc>
          <w:p/>
          <w:p>
            <w:pPr>
              <w:spacing w:after="0" w:before="0" w:lineRule="auto" w:line="276"/>
              <w:jc w:val="left"/>
            </w:pPr>
            <w:r>
              <w:rPr>
                <w:rFonts w:ascii="Times New Roman" w:hAnsi="Times New Roman" w:cs="Times New Roman" w:eastAsia="Times New Roman"/>
                <w:b w:val="false"/>
                <w:sz w:val="26"/>
              </w:rPr>
              <w:t>12-11-2018</w:t>
            </w:r>
          </w:p>
        </w:tc>
        <w:tc>
          <w:p/>
        </w:tc>
      </w:tr>
      <w:tr>
        <w:tc>
          <w:p/>
          <w:p>
            <w:pPr>
              <w:spacing w:after="0" w:before="0" w:lineRule="auto" w:line="276"/>
              <w:jc w:val="left"/>
            </w:pPr>
            <w:r>
              <w:rPr>
                <w:rFonts w:ascii="Times New Roman" w:hAnsi="Times New Roman" w:cs="Times New Roman" w:eastAsia="Times New Roman"/>
                <w:b w:val="false"/>
                <w:sz w:val="26"/>
              </w:rPr>
              <w:t>59/2023/TT-BTC</w:t>
            </w:r>
          </w:p>
        </w:tc>
        <w:tc>
          <w:p/>
          <w:p>
            <w:pPr>
              <w:spacing w:after="0" w:before="0" w:lineRule="auto" w:line="276"/>
              <w:jc w:val="left"/>
            </w:pPr>
            <w:r>
              <w:rPr>
                <w:rFonts w:ascii="Times New Roman" w:hAnsi="Times New Roman" w:cs="Times New Roman" w:eastAsia="Times New Roman"/>
                <w:b w:val="false"/>
                <w:sz w:val="26"/>
              </w:rPr>
              <w:t>Thông tư số 59/2023/TT-BTC ngày 30/8/2023 của Bộ trưởng Bộ Tài chính quy định mức thu, chế độ thu, nộp quản lý và sử dụng phí trong lĩnh vực y tế</w:t>
            </w:r>
          </w:p>
        </w:tc>
        <w:tc>
          <w:p/>
          <w:p>
            <w:pPr>
              <w:spacing w:after="0" w:before="0" w:lineRule="auto" w:line="276"/>
              <w:jc w:val="left"/>
            </w:pPr>
            <w:r>
              <w:rPr>
                <w:rFonts w:ascii="Times New Roman" w:hAnsi="Times New Roman" w:cs="Times New Roman" w:eastAsia="Times New Roman"/>
                <w:b w:val="false"/>
                <w:sz w:val="26"/>
              </w:rPr>
              <w:t>30-08-2023</w:t>
            </w:r>
          </w:p>
        </w:tc>
        <w:tc>
          <w:p/>
          <w:p>
            <w:pPr>
              <w:spacing w:after="0" w:before="0" w:lineRule="auto" w:line="276"/>
              <w:jc w:val="left"/>
            </w:pPr>
            <w:r>
              <w:rPr>
                <w:rFonts w:ascii="Times New Roman" w:hAnsi="Times New Roman" w:cs="Times New Roman" w:eastAsia="Times New Roman"/>
                <w:b w:val="false"/>
                <w:sz w:val="26"/>
              </w:rPr>
              <w:t>Bộ trưởng Bộ tài chính</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148/2025/NĐ-CP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Y TẾ</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số 64/2025/TT-BTC ngày 30/6/2025 của Bộ trưởng Bộ Tài chính quy định mức thu,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yêu cầu điều kiện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https://thutuc.dichvucong.gov.vn/p/home/dvc-tthc-thu-tuc-hanh-chinh-chi-tiet.html?ma_thu_tuc=384652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2025-12-02T12:22:48Z</dcterms:created>
  <dc:creator>Apache POI</dc:creator>
</cp:coreProperties>
</file>