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59F0" w:rsidRDefault="005C430F">
      <w:pPr>
        <w:spacing w:after="300" w:line="276" w:lineRule="auto"/>
        <w:jc w:val="center"/>
      </w:pPr>
      <w:r>
        <w:rPr>
          <w:rFonts w:ascii="Times New Roman" w:eastAsia="Times New Roman" w:hAnsi="Times New Roman" w:cs="Times New Roman"/>
          <w:b/>
          <w:sz w:val="26"/>
        </w:rPr>
        <w:t>Chi tiết thủ tục hành chính</w:t>
      </w:r>
    </w:p>
    <w:p w:rsidR="00B559F0" w:rsidRDefault="005C430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1.013895</w:t>
      </w:r>
    </w:p>
    <w:p w:rsidR="00B559F0" w:rsidRDefault="005C430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rsidR="00B559F0" w:rsidRDefault="005C430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lưu hành bổ sung do thay đổi địa điểm cơ sở sản xuất, thay đổi cơ sở sản xuất chế phẩm diệt côn trùng, diệt khuẩn dùng trong lĩnh vực gia dụng và y tế .</w:t>
      </w:r>
    </w:p>
    <w:p w:rsidR="00B559F0" w:rsidRDefault="005C430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B559F0" w:rsidRDefault="005C430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B559F0" w:rsidRDefault="005C430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B559F0" w:rsidRDefault="005C430F">
      <w:pPr>
        <w:spacing w:after="0" w:line="276" w:lineRule="auto"/>
        <w:jc w:val="both"/>
      </w:pPr>
      <w:r>
        <w:rPr>
          <w:rFonts w:ascii="Times New Roman" w:eastAsia="Times New Roman" w:hAnsi="Times New Roman" w:cs="Times New Roman"/>
          <w:b/>
          <w:sz w:val="26"/>
        </w:rPr>
        <w:t xml:space="preserve">Trình tự thực hiện: </w:t>
      </w:r>
    </w:p>
    <w:p w:rsidR="00B559F0" w:rsidRDefault="00B559F0">
      <w:pPr>
        <w:shd w:val="clear" w:color="auto" w:fill="F2F6F9"/>
        <w:spacing w:before="120" w:after="0" w:line="276" w:lineRule="auto"/>
        <w:jc w:val="both"/>
      </w:pPr>
    </w:p>
    <w:p w:rsidR="00B559F0" w:rsidRDefault="005C430F">
      <w:pPr>
        <w:spacing w:after="0" w:line="276" w:lineRule="auto"/>
        <w:jc w:val="both"/>
      </w:pPr>
      <w:r>
        <w:rPr>
          <w:rFonts w:ascii="Times New Roman" w:eastAsia="Times New Roman" w:hAnsi="Times New Roman" w:cs="Times New Roman"/>
          <w:sz w:val="26"/>
        </w:rPr>
        <w:t>Bước 1: Cơ sở đăng ký lưu hành bổ sung nộp hồ sơ đến Cơ quan chuyên môn về y tế thuộc Ủy ban nhân dân cấp tỉnh. Bước 2: Sau khi nhận được hồ sơ đăng ký lưu hành bổ sung đầy đủ và phí thẩm định hồ sơ cho phép khảo nghiệm, Cơ quan chuyên môn về y tế thuộc Ủy ban nhân dân cấp tỉnh gửi cho cơ sở đăng ký Phiếu tiếp nhận hồ sơ theo Mẫu số 05 tại Phụ lục III ban hành kèm theo Nghị định số 91/2016/NĐ-CP. Bước 3: Trong thời hạn 30 ngày, kể từ ngày ghi trên Phiếu tiếp nhận hồ sơ, Cơ quan chuyên môn về y tế thuộc Ủy b</w:t>
      </w:r>
      <w:r>
        <w:rPr>
          <w:rFonts w:ascii="Times New Roman" w:eastAsia="Times New Roman" w:hAnsi="Times New Roman" w:cs="Times New Roman"/>
          <w:sz w:val="26"/>
        </w:rPr>
        <w:t xml:space="preserve">an nhân dân cấp tỉnh thông báo bằng văn bản cho cơ sở đăng ký về việc bổ sung, sửa đổi hồ sơ hoặc cho phép khảo nghiệm hoặc không cho phép khảo nghiệm và nêu rõ lý do. Bước 4: Trường hợp Cơ quan chuyên môn về y tế thuộc Ủy ban nhân dân cấp tỉnh có văn bản yêu cầu sửa đổi, bổ sung hồ sơ, trong thời hạn 90 ngày kể từ ngày ghi trên văn bản, cơ sở đăng ký lưu hành bổ sung phải hoàn chỉnh hồ sơ, giải trình bằng văn bản và gửi đến Cơ quan chuyên môn về y tế thuộc Ủy ban nhân dân cấp tỉnh. Ngày tiếp nhận hồ sơ bổ </w:t>
      </w:r>
      <w:r>
        <w:rPr>
          <w:rFonts w:ascii="Times New Roman" w:eastAsia="Times New Roman" w:hAnsi="Times New Roman" w:cs="Times New Roman"/>
          <w:sz w:val="26"/>
        </w:rPr>
        <w:t>sung, sửa đổi được ghi trên Phiếu tiếp nhận hồ sơ. Quá thời hạn trên, hồ sơ đăng ký lưu hành bổ sung sẽ bị hủy bỏ. Trường hợp cơ sở đăng ký không nộp hồ sơ đúng thời hạn theo quy định vì lý do bất khả kháng như: thiên tai, thảm họa, dịch bệnh, hỏa hoạn,… thì được nộp hồ sơ muộn không quá 12 tháng kể từ ngày hết hạn bổ sung hồ sơ kèm theo văn bản giải trình. Trường hợp Cơ quan chuyên môn về y tế thuộc Ủy ban nhân dân cấp tỉnh có văn bản cho phép khảo nghiệm, trong thời gian tối đa 12 tháng kể từ ngày ghi trê</w:t>
      </w:r>
      <w:r>
        <w:rPr>
          <w:rFonts w:ascii="Times New Roman" w:eastAsia="Times New Roman" w:hAnsi="Times New Roman" w:cs="Times New Roman"/>
          <w:sz w:val="26"/>
        </w:rPr>
        <w:t>n công văn cho phép khảo nghiệm, cơ sở đăng ký lưu hành bổ sung phải nộp kết quả khảo nghiệm để bổ sung vào hồ sơ.  Bước 5: Trong thời hạn 30 ngày, kể từ ngày nhận được Phiếu trả lời kết quả khảo nghiệm và phí thẩm định hồ sơ đăng ký lưu hành bổ sung, Cơ quan chuyên môn về y tế thuộc Ủy ban nhân dân cấp tỉnh phải có văn bản thông báo yêu cầu sửa đổi, bổ sung hồ sơ; cho phép hoặc không cho phép bổ sung Giấy chứng nhận đăng ký lưu hành và nêu rõ lý do.</w:t>
      </w:r>
    </w:p>
    <w:p w:rsidR="00B559F0" w:rsidRDefault="005C430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10"/>
        <w:gridCol w:w="1253"/>
        <w:gridCol w:w="4443"/>
        <w:gridCol w:w="2505"/>
      </w:tblGrid>
      <w:tr w:rsidR="00B559F0">
        <w:tblPrEx>
          <w:tblCellMar>
            <w:top w:w="0" w:type="dxa"/>
            <w:bottom w:w="0" w:type="dxa"/>
          </w:tblCellMar>
        </w:tblPrEx>
        <w:tc>
          <w:tcPr>
            <w:tcW w:w="1500" w:type="dxa"/>
          </w:tcPr>
          <w:p w:rsidR="00B559F0" w:rsidRDefault="00B559F0"/>
          <w:p w:rsidR="00B559F0" w:rsidRDefault="005C430F">
            <w:pPr>
              <w:spacing w:after="0" w:line="276" w:lineRule="auto"/>
              <w:jc w:val="center"/>
            </w:pPr>
            <w:r>
              <w:rPr>
                <w:rFonts w:ascii="Times New Roman" w:eastAsia="Times New Roman" w:hAnsi="Times New Roman" w:cs="Times New Roman"/>
                <w:b/>
                <w:sz w:val="26"/>
              </w:rPr>
              <w:t xml:space="preserve">Hình thức </w:t>
            </w:r>
            <w:r>
              <w:rPr>
                <w:rFonts w:ascii="Times New Roman" w:eastAsia="Times New Roman" w:hAnsi="Times New Roman" w:cs="Times New Roman"/>
                <w:b/>
                <w:sz w:val="26"/>
              </w:rPr>
              <w:lastRenderedPageBreak/>
              <w:t>nộp</w:t>
            </w:r>
          </w:p>
        </w:tc>
        <w:tc>
          <w:tcPr>
            <w:tcW w:w="2000" w:type="dxa"/>
          </w:tcPr>
          <w:p w:rsidR="00B559F0" w:rsidRDefault="00B559F0"/>
          <w:p w:rsidR="00B559F0" w:rsidRDefault="005C430F">
            <w:pPr>
              <w:spacing w:after="0" w:line="276" w:lineRule="auto"/>
              <w:jc w:val="center"/>
            </w:pPr>
            <w:r>
              <w:rPr>
                <w:rFonts w:ascii="Times New Roman" w:eastAsia="Times New Roman" w:hAnsi="Times New Roman" w:cs="Times New Roman"/>
                <w:b/>
                <w:sz w:val="26"/>
              </w:rPr>
              <w:t xml:space="preserve">Thời hạn </w:t>
            </w:r>
            <w:r>
              <w:rPr>
                <w:rFonts w:ascii="Times New Roman" w:eastAsia="Times New Roman" w:hAnsi="Times New Roman" w:cs="Times New Roman"/>
                <w:b/>
                <w:sz w:val="26"/>
              </w:rPr>
              <w:lastRenderedPageBreak/>
              <w:t>giải quyết</w:t>
            </w:r>
          </w:p>
        </w:tc>
        <w:tc>
          <w:tcPr>
            <w:tcW w:w="3500" w:type="dxa"/>
          </w:tcPr>
          <w:p w:rsidR="00B559F0" w:rsidRDefault="00B559F0"/>
          <w:p w:rsidR="00B559F0" w:rsidRDefault="005C430F">
            <w:pPr>
              <w:spacing w:after="0" w:line="276" w:lineRule="auto"/>
              <w:jc w:val="center"/>
            </w:pPr>
            <w:r>
              <w:rPr>
                <w:rFonts w:ascii="Times New Roman" w:eastAsia="Times New Roman" w:hAnsi="Times New Roman" w:cs="Times New Roman"/>
                <w:b/>
                <w:sz w:val="26"/>
              </w:rPr>
              <w:t>Phí, lệ phí</w:t>
            </w:r>
          </w:p>
        </w:tc>
        <w:tc>
          <w:tcPr>
            <w:tcW w:w="3000" w:type="dxa"/>
          </w:tcPr>
          <w:p w:rsidR="00B559F0" w:rsidRDefault="00B559F0"/>
          <w:p w:rsidR="00B559F0" w:rsidRDefault="005C430F">
            <w:pPr>
              <w:spacing w:after="0" w:line="276" w:lineRule="auto"/>
              <w:jc w:val="center"/>
            </w:pPr>
            <w:r>
              <w:rPr>
                <w:rFonts w:ascii="Times New Roman" w:eastAsia="Times New Roman" w:hAnsi="Times New Roman" w:cs="Times New Roman"/>
                <w:b/>
                <w:sz w:val="26"/>
              </w:rPr>
              <w:t>Mô tả</w:t>
            </w:r>
          </w:p>
        </w:tc>
      </w:tr>
      <w:tr w:rsidR="00B559F0">
        <w:tblPrEx>
          <w:tblCellMar>
            <w:top w:w="0" w:type="dxa"/>
            <w:bottom w:w="0" w:type="dxa"/>
          </w:tblCellMar>
        </w:tblPrEx>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Trực tiếp</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60 Ngày làm việc</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Phí : 1.250.000 Đồng (Phí thẩm định đăng ký lưu hành đăng ký lưu hành bổ sung)</w:t>
            </w:r>
          </w:p>
          <w:p w:rsidR="00B559F0" w:rsidRDefault="005C430F">
            <w:pPr>
              <w:spacing w:after="0" w:line="276" w:lineRule="auto"/>
            </w:pPr>
            <w:r>
              <w:rPr>
                <w:rFonts w:ascii="Times New Roman" w:eastAsia="Times New Roman" w:hAnsi="Times New Roman" w:cs="Times New Roman"/>
                <w:sz w:val="26"/>
              </w:rPr>
              <w:t>Phí : 1.750.000 Đồng</w:t>
            </w:r>
            <w:r>
              <w:rPr>
                <w:rFonts w:ascii="Times New Roman" w:eastAsia="Times New Roman" w:hAnsi="Times New Roman" w:cs="Times New Roman"/>
                <w:sz w:val="26"/>
              </w:rPr>
              <w:t xml:space="preserve"> (Phí thẩm định hồ sơ cho phép khảo nghiệm)</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60 ngày kể từ ngày nhận được đủ hồ sơ hợp lệ.</w:t>
            </w:r>
          </w:p>
        </w:tc>
      </w:tr>
      <w:tr w:rsidR="00B559F0">
        <w:tblPrEx>
          <w:tblCellMar>
            <w:top w:w="0" w:type="dxa"/>
            <w:bottom w:w="0" w:type="dxa"/>
          </w:tblCellMar>
        </w:tblPrEx>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Trực tuyến</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60 Ngày làm việc</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Phí : 1.250.000 Đồng</w:t>
            </w:r>
            <w:r>
              <w:rPr>
                <w:rFonts w:ascii="Times New Roman" w:eastAsia="Times New Roman" w:hAnsi="Times New Roman" w:cs="Times New Roman"/>
                <w:sz w:val="26"/>
              </w:rPr>
              <w:t xml:space="preserve"> (Phí thẩm định đăng ký lưu hành đăng ký lưu hành bổ sung)</w:t>
            </w:r>
          </w:p>
          <w:p w:rsidR="00B559F0" w:rsidRDefault="005C430F">
            <w:pPr>
              <w:spacing w:after="0" w:line="276" w:lineRule="auto"/>
            </w:pPr>
            <w:r>
              <w:rPr>
                <w:rFonts w:ascii="Times New Roman" w:eastAsia="Times New Roman" w:hAnsi="Times New Roman" w:cs="Times New Roman"/>
                <w:sz w:val="26"/>
              </w:rPr>
              <w:t>Phí : 1.750.000 Đồng (Phí thẩm định hồ sơ cho phép khảo nghiệm)</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60 ngày kể từ ngày nhận được đủ hồ sơ hợp lệ.</w:t>
            </w:r>
          </w:p>
        </w:tc>
      </w:tr>
      <w:tr w:rsidR="00B559F0">
        <w:tblPrEx>
          <w:tblCellMar>
            <w:top w:w="0" w:type="dxa"/>
            <w:bottom w:w="0" w:type="dxa"/>
          </w:tblCellMar>
        </w:tblPrEx>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Dịch vụ bưu chính</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60 Ngày làm việc</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Phí : 1.250.000 Đồng (Phí thẩm định đăng ký lưu hành đăng ký lưu hành bổ sung)</w:t>
            </w:r>
          </w:p>
          <w:p w:rsidR="00B559F0" w:rsidRDefault="005C430F">
            <w:pPr>
              <w:spacing w:after="0" w:line="276" w:lineRule="auto"/>
            </w:pPr>
            <w:r>
              <w:rPr>
                <w:rFonts w:ascii="Times New Roman" w:eastAsia="Times New Roman" w:hAnsi="Times New Roman" w:cs="Times New Roman"/>
                <w:sz w:val="26"/>
              </w:rPr>
              <w:t>Phí : 1.750.000 Đồng (Phí thẩm định hồ sơ cho phép khảo nghiệm)</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60 ngày kể từ ngày nhận được đủ hồ sơ hợp lệ.</w:t>
            </w:r>
          </w:p>
        </w:tc>
      </w:tr>
    </w:tbl>
    <w:p w:rsidR="00B559F0" w:rsidRDefault="005C430F">
      <w:pPr>
        <w:spacing w:before="240" w:after="0" w:line="276" w:lineRule="auto"/>
        <w:jc w:val="both"/>
      </w:pPr>
      <w:r>
        <w:rPr>
          <w:rFonts w:ascii="Times New Roman" w:eastAsia="Times New Roman" w:hAnsi="Times New Roman" w:cs="Times New Roman"/>
          <w:b/>
          <w:sz w:val="26"/>
        </w:rPr>
        <w:t xml:space="preserve">Thành phần hồ sơ: </w:t>
      </w:r>
    </w:p>
    <w:p w:rsidR="00B559F0" w:rsidRDefault="005C430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03"/>
        <w:gridCol w:w="1601"/>
        <w:gridCol w:w="907"/>
      </w:tblGrid>
      <w:tr w:rsidR="00B559F0">
        <w:tblPrEx>
          <w:tblCellMar>
            <w:top w:w="0" w:type="dxa"/>
            <w:bottom w:w="0" w:type="dxa"/>
          </w:tblCellMar>
        </w:tblPrEx>
        <w:tc>
          <w:tcPr>
            <w:tcW w:w="6000" w:type="dxa"/>
          </w:tcPr>
          <w:p w:rsidR="00B559F0" w:rsidRDefault="00B559F0"/>
          <w:p w:rsidR="00B559F0" w:rsidRDefault="005C430F">
            <w:pPr>
              <w:spacing w:after="0" w:line="276" w:lineRule="auto"/>
              <w:jc w:val="center"/>
            </w:pPr>
            <w:r>
              <w:rPr>
                <w:rFonts w:ascii="Times New Roman" w:eastAsia="Times New Roman" w:hAnsi="Times New Roman" w:cs="Times New Roman"/>
                <w:b/>
                <w:sz w:val="26"/>
              </w:rPr>
              <w:t>Tên giấy tờ</w:t>
            </w:r>
          </w:p>
        </w:tc>
        <w:tc>
          <w:tcPr>
            <w:tcW w:w="2000" w:type="dxa"/>
          </w:tcPr>
          <w:p w:rsidR="00B559F0" w:rsidRDefault="00B559F0"/>
          <w:p w:rsidR="00B559F0" w:rsidRDefault="005C430F">
            <w:pPr>
              <w:spacing w:after="0" w:line="276" w:lineRule="auto"/>
              <w:jc w:val="center"/>
            </w:pPr>
            <w:r>
              <w:rPr>
                <w:rFonts w:ascii="Times New Roman" w:eastAsia="Times New Roman" w:hAnsi="Times New Roman" w:cs="Times New Roman"/>
                <w:b/>
                <w:sz w:val="26"/>
              </w:rPr>
              <w:t>Mẫu đơn, tờ khai</w:t>
            </w:r>
          </w:p>
        </w:tc>
        <w:tc>
          <w:tcPr>
            <w:tcW w:w="2000" w:type="dxa"/>
          </w:tcPr>
          <w:p w:rsidR="00B559F0" w:rsidRDefault="00B559F0"/>
          <w:p w:rsidR="00B559F0" w:rsidRDefault="005C430F">
            <w:pPr>
              <w:spacing w:after="0" w:line="276" w:lineRule="auto"/>
              <w:jc w:val="center"/>
            </w:pPr>
            <w:r>
              <w:rPr>
                <w:rFonts w:ascii="Times New Roman" w:eastAsia="Times New Roman" w:hAnsi="Times New Roman" w:cs="Times New Roman"/>
                <w:b/>
                <w:sz w:val="26"/>
              </w:rPr>
              <w:t>Số lượng</w:t>
            </w:r>
          </w:p>
        </w:tc>
      </w:tr>
      <w:tr w:rsidR="00B559F0">
        <w:tblPrEx>
          <w:tblCellMar>
            <w:top w:w="0" w:type="dxa"/>
            <w:bottom w:w="0" w:type="dxa"/>
          </w:tblCellMar>
        </w:tblPrEx>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1. Văn bản  đề nghị đăng ký lưu hành bổ sung theo Mẫu số 05 tại Phụ lục I ban hành kèm theo Nghị định số 91/2016/NĐ-CP, Nghị định số 155/2018/NĐ-CP và Nghị định số 129/2024/NĐ-CP (Bản gốc văn bản).</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Maubieu.docx</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559F0">
        <w:tblPrEx>
          <w:tblCellMar>
            <w:top w:w="0" w:type="dxa"/>
            <w:bottom w:w="0" w:type="dxa"/>
          </w:tblCellMar>
        </w:tblPrEx>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2. Giấy ủy  quyền thực hiện việc đăng ký lưu hành trừ trường hợp quy định tại điểm a khoản 1 Điều 20 Nghị định số 91/2016/NĐ-CP (Bản gốc Giấy ủy quyền thực hiện việc đăng ký lưu hành. Giấy ủy quyền phải đáp ứng yêu cầu tại Phụ lục VII ban hành kèm theo Nghị định số 129/2024/NĐ-CP).</w:t>
            </w:r>
          </w:p>
        </w:tc>
        <w:tc>
          <w:tcPr>
            <w:tcW w:w="0" w:type="auto"/>
          </w:tcPr>
          <w:p w:rsidR="00B559F0" w:rsidRDefault="00B559F0"/>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559F0">
        <w:tblPrEx>
          <w:tblCellMar>
            <w:top w:w="0" w:type="dxa"/>
            <w:bottom w:w="0" w:type="dxa"/>
          </w:tblCellMar>
        </w:tblPrEx>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 xml:space="preserve">3. Giấy tờ  về tư cách pháp nhân của cơ sở sản xuất ghi địa điểm mới: - Đối với cơ sở tại Việt Nam: Giấy tờ về tư cách pháp nhân </w:t>
            </w:r>
            <w:r>
              <w:rPr>
                <w:rFonts w:ascii="Times New Roman" w:eastAsia="Times New Roman" w:hAnsi="Times New Roman" w:cs="Times New Roman"/>
                <w:sz w:val="26"/>
              </w:rPr>
              <w:lastRenderedPageBreak/>
              <w:t>của cơ sở sản xuất ghi địa điểm mới (Bản sao hợp lệ hoặc bản sao giấy tờ về tư cách pháp nhân của cơ sở sản xuất ghi địa điểm mới có đóng dấu của đơn vị được cấp theo quy định tại Nghị định số 129/2024/NĐ-CP).  - Đối với cơ sở tại nước ngoài: văn bản thông báo thay đổi địa điểm, cơ sở sản xuất (Bản gốc hoặc bản sao hợp lệ văn bản thông báo thay đổi địa điểm hoặc thay đổi cơ sở sản xuất của cơ sở nước ngoài được hợp pháp hóa lãnh sự theo quy định).</w:t>
            </w:r>
          </w:p>
        </w:tc>
        <w:tc>
          <w:tcPr>
            <w:tcW w:w="0" w:type="auto"/>
          </w:tcPr>
          <w:p w:rsidR="00B559F0" w:rsidRDefault="00B559F0"/>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1</w:t>
            </w:r>
          </w:p>
        </w:tc>
      </w:tr>
      <w:tr w:rsidR="00B559F0">
        <w:tblPrEx>
          <w:tblCellMar>
            <w:top w:w="0" w:type="dxa"/>
            <w:bottom w:w="0" w:type="dxa"/>
          </w:tblCellMar>
        </w:tblPrEx>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4. Phiếu  trả lời kết quả khảo nghiệm chế phẩm sản xuất tại cơ sở mới (Bản gốc hoặc bản sao hợp lệ Phiếu trả lời kết quả khảo nghiệm được thực hiện bởi cơ sở độc lập đã công bố đủ điều kiện thực hiện khảo nghiệm theo quy định, không bao gồm cơ sở sản xuất và cơ sở đăng ký chế phẩm. Riêng đối với chế phẩm diệt khuẩn, chấp nhận kết quả khảo nghiệm của cơ sở khảo nghiệm độc lập tại nước ngoài được cơ quan có thẩm quyền nước sở tại chỉ định, thừa nhận hoặc được tổ chức công nhận công nhận phù hợp tiêu chuẩn ISO</w:t>
            </w:r>
            <w:r>
              <w:rPr>
                <w:rFonts w:ascii="Times New Roman" w:eastAsia="Times New Roman" w:hAnsi="Times New Roman" w:cs="Times New Roman"/>
                <w:sz w:val="26"/>
              </w:rPr>
              <w:t>/IEC 17025 hoặc ISO 15189 hoặc tiêu chuẩn về quản lý chất lượng phòng thử nghiệm phục vụ khảo nghiệm. Trường hợp sử dụng Phiếu trả lời kết quả khảo nghiệm của cơ sở khảo nghiệm độc lập tại nước ngoài thì trong Phiếu trả lời kết quả khảo nghiệm phải bao gồm chỉ tiêu vi sinh, hiệu quả diệt khuẩn được quy định tại quy trình khảo nghiệm do Bộ Y tế ban hành và được hợp pháp hóa lãnh sự theo quy định).</w:t>
            </w:r>
          </w:p>
        </w:tc>
        <w:tc>
          <w:tcPr>
            <w:tcW w:w="0" w:type="auto"/>
          </w:tcPr>
          <w:p w:rsidR="00B559F0" w:rsidRDefault="00B559F0"/>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559F0">
        <w:tblPrEx>
          <w:tblCellMar>
            <w:top w:w="0" w:type="dxa"/>
            <w:bottom w:w="0" w:type="dxa"/>
          </w:tblCellMar>
        </w:tblPrEx>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5. Giấy  chứng nhận lưu hành tự do, trừ trường hợp chế phẩm đã được cấp số đăng ký lưu hành để sản xuất tại Việt Nam và đăng ký lưu hành bổ sung cơ sở sản xuất tại nước ngoài (Bản gốc hoặc bản sao hợp lệ Giấy chứng nhận lưu hành tự do đối với chế phẩm nhập khẩu. Giấy chứng nhận lưu hành tự do phải đáp ứng các yêu cầu tại Phụ lục VIII ban hành kèm theo Nghị định số 129/2024/NĐ-CP).</w:t>
            </w:r>
          </w:p>
        </w:tc>
        <w:tc>
          <w:tcPr>
            <w:tcW w:w="0" w:type="auto"/>
          </w:tcPr>
          <w:p w:rsidR="00B559F0" w:rsidRDefault="00B559F0"/>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559F0">
        <w:tblPrEx>
          <w:tblCellMar>
            <w:top w:w="0" w:type="dxa"/>
            <w:bottom w:w="0" w:type="dxa"/>
          </w:tblCellMar>
        </w:tblPrEx>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6. Mẫu  nhãn mới của chế phẩm (Mẫu nhãn của tất cả các quy cách đóng gói theo kích thước thực có xác nhận của cơ sở đăng ký. Trường hợp nhiều quy cách đóng gói có nhãn thiết kế giống nhau, cơ sở đăng ký nộp nhãn của quy cách đóng gói nhỏ nhất. Trường hợp mẫu nhãn chế phẩm nhập khẩu ghi bằng tiếng nước ngoài thì phải kèm theo nội dung nhãn phụ bằng tiếng Việt. Mẫu nhãn, nội dung nhãn phụ của chế phẩm phải đáp ứng các yêu cầu tại Phụ lục IX ban hành kèm theo Nghị định số 129/2024/NĐ-CP).</w:t>
            </w:r>
          </w:p>
        </w:tc>
        <w:tc>
          <w:tcPr>
            <w:tcW w:w="0" w:type="auto"/>
          </w:tcPr>
          <w:p w:rsidR="00B559F0" w:rsidRDefault="00B559F0"/>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B559F0" w:rsidRDefault="005C430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B559F0" w:rsidRDefault="005C430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B559F0" w:rsidRDefault="005C430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B559F0" w:rsidRDefault="005C430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B559F0" w:rsidRDefault="005C430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559F0" w:rsidRDefault="005C430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559F0" w:rsidRDefault="005C430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đồng ý hoặc không đồng ý</w:t>
      </w:r>
    </w:p>
    <w:p w:rsidR="00B559F0" w:rsidRDefault="005C430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30"/>
        <w:gridCol w:w="5896"/>
        <w:gridCol w:w="777"/>
        <w:gridCol w:w="1122"/>
      </w:tblGrid>
      <w:tr w:rsidR="00B559F0">
        <w:tblPrEx>
          <w:tblCellMar>
            <w:top w:w="0" w:type="dxa"/>
            <w:bottom w:w="0" w:type="dxa"/>
          </w:tblCellMar>
        </w:tblPrEx>
        <w:tc>
          <w:tcPr>
            <w:tcW w:w="2000" w:type="dxa"/>
          </w:tcPr>
          <w:p w:rsidR="00B559F0" w:rsidRDefault="00B559F0"/>
          <w:p w:rsidR="00B559F0" w:rsidRDefault="005C430F">
            <w:pPr>
              <w:spacing w:after="0" w:line="276" w:lineRule="auto"/>
              <w:jc w:val="center"/>
            </w:pPr>
            <w:r>
              <w:rPr>
                <w:rFonts w:ascii="Times New Roman" w:eastAsia="Times New Roman" w:hAnsi="Times New Roman" w:cs="Times New Roman"/>
                <w:b/>
                <w:sz w:val="26"/>
              </w:rPr>
              <w:t>Số ký hiệu</w:t>
            </w:r>
          </w:p>
        </w:tc>
        <w:tc>
          <w:tcPr>
            <w:tcW w:w="3500" w:type="dxa"/>
          </w:tcPr>
          <w:p w:rsidR="00B559F0" w:rsidRDefault="00B559F0"/>
          <w:p w:rsidR="00B559F0" w:rsidRDefault="005C430F">
            <w:pPr>
              <w:spacing w:after="0" w:line="276" w:lineRule="auto"/>
              <w:jc w:val="center"/>
            </w:pPr>
            <w:r>
              <w:rPr>
                <w:rFonts w:ascii="Times New Roman" w:eastAsia="Times New Roman" w:hAnsi="Times New Roman" w:cs="Times New Roman"/>
                <w:b/>
                <w:sz w:val="26"/>
              </w:rPr>
              <w:t>Trích yếu</w:t>
            </w:r>
          </w:p>
        </w:tc>
        <w:tc>
          <w:tcPr>
            <w:tcW w:w="1500" w:type="dxa"/>
          </w:tcPr>
          <w:p w:rsidR="00B559F0" w:rsidRDefault="00B559F0"/>
          <w:p w:rsidR="00B559F0" w:rsidRDefault="005C430F">
            <w:pPr>
              <w:spacing w:after="0" w:line="276" w:lineRule="auto"/>
              <w:jc w:val="center"/>
            </w:pPr>
            <w:r>
              <w:rPr>
                <w:rFonts w:ascii="Times New Roman" w:eastAsia="Times New Roman" w:hAnsi="Times New Roman" w:cs="Times New Roman"/>
                <w:b/>
                <w:sz w:val="26"/>
              </w:rPr>
              <w:t>Ngày ban hành</w:t>
            </w:r>
          </w:p>
        </w:tc>
        <w:tc>
          <w:tcPr>
            <w:tcW w:w="3000" w:type="dxa"/>
          </w:tcPr>
          <w:p w:rsidR="00B559F0" w:rsidRDefault="00B559F0"/>
          <w:p w:rsidR="00B559F0" w:rsidRDefault="005C430F">
            <w:pPr>
              <w:spacing w:after="0" w:line="276" w:lineRule="auto"/>
              <w:jc w:val="center"/>
            </w:pPr>
            <w:r>
              <w:rPr>
                <w:rFonts w:ascii="Times New Roman" w:eastAsia="Times New Roman" w:hAnsi="Times New Roman" w:cs="Times New Roman"/>
                <w:b/>
                <w:sz w:val="26"/>
              </w:rPr>
              <w:t>Cơ quan ban hành</w:t>
            </w:r>
          </w:p>
        </w:tc>
      </w:tr>
      <w:tr w:rsidR="00B559F0">
        <w:tblPrEx>
          <w:tblCellMar>
            <w:top w:w="0" w:type="dxa"/>
            <w:bottom w:w="0" w:type="dxa"/>
          </w:tblCellMar>
        </w:tblPrEx>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91/2016/NĐ-CP</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Nghị định 91/2016/NĐ-CP-Về quản lý hóa chất, chế phẩm diệt côn trùng, diệt khuẩn dùng trong lĩnh vực gia dụng và y tế</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01-07-2016</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Chính phủ</w:t>
            </w:r>
          </w:p>
        </w:tc>
      </w:tr>
      <w:tr w:rsidR="00B559F0">
        <w:tblPrEx>
          <w:tblCellMar>
            <w:top w:w="0" w:type="dxa"/>
            <w:bottom w:w="0" w:type="dxa"/>
          </w:tblCellMar>
        </w:tblPrEx>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155/2018/NĐ-CP</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Nghị định 155/2018/NĐ-CP</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12-11-2018</w:t>
            </w:r>
          </w:p>
        </w:tc>
        <w:tc>
          <w:tcPr>
            <w:tcW w:w="0" w:type="auto"/>
          </w:tcPr>
          <w:p w:rsidR="00B559F0" w:rsidRDefault="00B559F0"/>
        </w:tc>
      </w:tr>
      <w:tr w:rsidR="00B559F0">
        <w:tblPrEx>
          <w:tblCellMar>
            <w:top w:w="0" w:type="dxa"/>
            <w:bottom w:w="0" w:type="dxa"/>
          </w:tblCellMar>
        </w:tblPrEx>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59/2023/TT-BTC</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Thông tư</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30-08-2023</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Bộ Tài chính</w:t>
            </w:r>
          </w:p>
        </w:tc>
      </w:tr>
      <w:tr w:rsidR="00B559F0">
        <w:tblPrEx>
          <w:tblCellMar>
            <w:top w:w="0" w:type="dxa"/>
            <w:bottom w:w="0" w:type="dxa"/>
          </w:tblCellMar>
        </w:tblPrEx>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3613/QĐ-BYT</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Quyết định công bố thủ tục hành chính được sửa đổi, bổ sung trong lĩnh vực Y tế dự phòng quy định tại Nghị định số 129/2024/NĐ-CP ngày 10 tháng 10 năm 2024 của Chính phủ thuộc phạm vi chức năng quản lý của Bộ Y tế</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30-11-2024</w:t>
            </w:r>
          </w:p>
        </w:tc>
        <w:tc>
          <w:tcPr>
            <w:tcW w:w="0" w:type="auto"/>
          </w:tcPr>
          <w:p w:rsidR="00B559F0" w:rsidRDefault="00B559F0"/>
        </w:tc>
      </w:tr>
      <w:tr w:rsidR="00B559F0">
        <w:tblPrEx>
          <w:tblCellMar>
            <w:top w:w="0" w:type="dxa"/>
            <w:bottom w:w="0" w:type="dxa"/>
          </w:tblCellMar>
        </w:tblPrEx>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42/2025/NĐ-CP</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27-02-2025</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Chính phủ</w:t>
            </w:r>
          </w:p>
        </w:tc>
      </w:tr>
      <w:tr w:rsidR="00B559F0">
        <w:tblPrEx>
          <w:tblCellMar>
            <w:top w:w="0" w:type="dxa"/>
            <w:bottom w:w="0" w:type="dxa"/>
          </w:tblCellMar>
        </w:tblPrEx>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148/2025/NĐ-CP</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12-06-2025</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Chính phủ</w:t>
            </w:r>
          </w:p>
        </w:tc>
      </w:tr>
      <w:tr w:rsidR="00B559F0">
        <w:tblPrEx>
          <w:tblCellMar>
            <w:top w:w="0" w:type="dxa"/>
            <w:bottom w:w="0" w:type="dxa"/>
          </w:tblCellMar>
        </w:tblPrEx>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64/2025/TT-BTC</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B559F0" w:rsidRDefault="00B559F0"/>
          <w:p w:rsidR="00B559F0" w:rsidRDefault="005C430F">
            <w:pPr>
              <w:spacing w:after="0" w:line="276" w:lineRule="auto"/>
            </w:pPr>
            <w:r>
              <w:rPr>
                <w:rFonts w:ascii="Times New Roman" w:eastAsia="Times New Roman" w:hAnsi="Times New Roman" w:cs="Times New Roman"/>
                <w:sz w:val="26"/>
              </w:rPr>
              <w:t>30-06-2025</w:t>
            </w:r>
          </w:p>
        </w:tc>
        <w:tc>
          <w:tcPr>
            <w:tcW w:w="0" w:type="auto"/>
          </w:tcPr>
          <w:p w:rsidR="00B559F0" w:rsidRDefault="00B559F0"/>
        </w:tc>
      </w:tr>
    </w:tbl>
    <w:p w:rsidR="00B559F0" w:rsidRDefault="005C430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đối với hồ sơ đăng ký lưu hành: - Đối với hồ sơ nộp trực tiếp hoặc nộp qua bưu chính công ích: theo quy định tại Điều 26 Nghị định số 91/2016/NĐ-CP được sửa đổi bổ sung tại Nghị định số 155/2018/NĐ-CP và Nghị định số 129/2024/NĐ-CP. - Đối với hồ sơ đăng ký trực tuyến: theo quy định tại Điều 52 Nghị định số 91/2016/NĐ-CP. Điều kiện đối với chế phẩm đăng ký lưu hành: theo quy định tại Điều 19 Nghị định số 91/2016/NĐ-CP.</w:t>
      </w:r>
    </w:p>
    <w:p w:rsidR="00B559F0" w:rsidRDefault="005C430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B559F0" w:rsidRDefault="005C430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https://thutuc.dichvucong.gov.vn/p/home/dvc-tthc-thu-tuc-hanh-chinh-chi-tiet.html?ma_thu_tuc=384671</w:t>
      </w:r>
    </w:p>
    <w:sectPr w:rsidR="00B559F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559F0"/>
    <w:rsid w:val="005C430F"/>
    <w:rsid w:val="006E4DFA"/>
    <w:rsid w:val="00B55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D1CFF6-9D86-433A-BFB5-C1D214A37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1214</Words>
  <Characters>6923</Characters>
  <Application>Microsoft Office Word</Application>
  <DocSecurity>0</DocSecurity>
  <Lines>57</Lines>
  <Paragraphs>16</Paragraphs>
  <ScaleCrop>false</ScaleCrop>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2025-12-02T12:23:00Z</dcterms:created>
  <dcterms:modified xsi:type="dcterms:W3CDTF">2025-12-02T12:23:00Z</dcterms:modified>
</cp:coreProperties>
</file>