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59EF" w:rsidRDefault="002239AB">
      <w:pPr>
        <w:spacing w:after="300" w:line="276" w:lineRule="auto"/>
        <w:jc w:val="center"/>
      </w:pPr>
      <w:r>
        <w:rPr>
          <w:rFonts w:ascii="Times New Roman" w:eastAsia="Times New Roman" w:hAnsi="Times New Roman" w:cs="Times New Roman"/>
          <w:b/>
          <w:sz w:val="26"/>
        </w:rPr>
        <w:t>Chi tiết thủ tục hành chính</w:t>
      </w:r>
    </w:p>
    <w:p w:rsidR="007759EF" w:rsidRDefault="002239A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1.014073</w:t>
      </w:r>
    </w:p>
    <w:p w:rsidR="007759EF" w:rsidRDefault="002239A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7759EF" w:rsidRDefault="002239A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nhập khẩu thuốc chưa có Giấy đăng ký lưu hành thuốc tại Việt Nam có chứa dược chất đã có giấy đăng ký lưu hành thuốc tại Việt Nam nhưng chưa đáp ứng đủ nhu cầu điều trị, thuốc có chứa dược liệu đã từng sử dụng làm thuốc tại Việt Nam nhưng chưa đáp ứng đủ nhu cầu điều trị</w:t>
      </w:r>
    </w:p>
    <w:p w:rsidR="007759EF" w:rsidRDefault="002239A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759EF" w:rsidRDefault="002239A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759EF" w:rsidRDefault="002239A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7759EF" w:rsidRDefault="002239AB">
      <w:pPr>
        <w:spacing w:after="0" w:line="276" w:lineRule="auto"/>
        <w:jc w:val="both"/>
      </w:pPr>
      <w:r>
        <w:rPr>
          <w:rFonts w:ascii="Times New Roman" w:eastAsia="Times New Roman" w:hAnsi="Times New Roman" w:cs="Times New Roman"/>
          <w:b/>
          <w:sz w:val="26"/>
        </w:rPr>
        <w:t xml:space="preserve">Trình tự thực hiện: </w:t>
      </w:r>
    </w:p>
    <w:p w:rsidR="007759EF" w:rsidRDefault="007759EF">
      <w:pPr>
        <w:shd w:val="clear" w:color="auto" w:fill="F2F6F9"/>
        <w:spacing w:before="120" w:after="0" w:line="276" w:lineRule="auto"/>
        <w:jc w:val="both"/>
      </w:pPr>
    </w:p>
    <w:p w:rsidR="007759EF" w:rsidRDefault="002239AB">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qua dịch vụ bưu chính hoặc trực tuyến về Bộ Y tế, cụ thể:  - Cục Quản lý Dược đối với thuốc hóa dược, thuốc dược liệu, vắc xin, sinh phẩm;  - Cục Quản lý Y, Dược cổ truyền đối với thuốc cổ truyền; Bước 2: Sau khi nhận được hồ sơ, cơ quan tiếp nhận hồ sơ trả cho cơ sở đề nghị Phiếu tiếp nhận hồ sơ theo Mẫu số 01 Phụ lục I của Nghị định số 163/2025/NĐ-CP. Bước 3: Trường hợp không có yêu cầu sửa đổi, bổ sung hồ sơ, kể từ ngày ghi trên Phiếu tiế</w:t>
      </w:r>
      <w:r>
        <w:rPr>
          <w:rFonts w:ascii="Times New Roman" w:eastAsia="Times New Roman" w:hAnsi="Times New Roman" w:cs="Times New Roman"/>
          <w:sz w:val="26"/>
        </w:rPr>
        <w:t>p nhận hồ sơ, trong thời hạn 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Cục Quản lý Dược/ Cục Quản lý Y, Dược cổ truyền cấp phép nhập khẩu trên cơ sở thẩm định hồ sơ, tư vấn của hội đồng có chức năng tư vấn cấp giấy phép nhập khẩu thuốc; Trường hợp có yêu cầu sửa đổi, bổ sung hồ sơ, kể từ ngày ghi tr</w:t>
      </w:r>
      <w:r>
        <w:rPr>
          <w:rFonts w:ascii="Times New Roman" w:eastAsia="Times New Roman" w:hAnsi="Times New Roman" w:cs="Times New Roman"/>
          <w:sz w:val="26"/>
        </w:rPr>
        <w:t>ên Phiếu tiếp nhận hồ sơ, trong thời hạn 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Cục Quản lý Dược/ Cục Quản lý Y, Dược cổ truyền gửi văn bản cho cơ sở để yêu cầu sửa đổi, bổ sung hồ sơ theo Mẫu số 16 tại Phụ lục I Nghị định số 163/2025/NĐ-CP. Bước 4: Sau khi nhận hồ sơ sửa đổi, bổ sung, cơ quan ti</w:t>
      </w:r>
      <w:r>
        <w:rPr>
          <w:rFonts w:ascii="Times New Roman" w:eastAsia="Times New Roman" w:hAnsi="Times New Roman" w:cs="Times New Roman"/>
          <w:sz w:val="26"/>
        </w:rPr>
        <w:t xml:space="preserve">ếp nhận hồ sơ trả cơ sở Phiếu tiếp nhận hồ sơ sửa đổi, bổ sung theo Mẫu số 01 Phụ lục I của Nghị định số 163/2025/NĐ-CP. Trường hợp hồ sơ sửa đổi, bổ sung không đáp ứng yêu cầu, kể từ ngày ghi trên Phiếu tiếp nhận hồ sơ, trong thời hạn 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Cục Quản lý Dược/ Cục </w:t>
      </w:r>
      <w:r>
        <w:rPr>
          <w:rFonts w:ascii="Times New Roman" w:eastAsia="Times New Roman" w:hAnsi="Times New Roman" w:cs="Times New Roman"/>
          <w:sz w:val="26"/>
        </w:rPr>
        <w:t xml:space="preserve">Quản lý Y, Dược cổ truyền có văn bản thông báo cho cơ sở về việc không cấp phép nhập khẩu theo Mẫu số 16 Phụ lục I Nghị định số 163/2025/NĐ-CP. Trường hợp không có yêu cầu sửa </w:t>
      </w:r>
      <w:r>
        <w:rPr>
          <w:rFonts w:ascii="Times New Roman" w:eastAsia="Times New Roman" w:hAnsi="Times New Roman" w:cs="Times New Roman"/>
          <w:sz w:val="26"/>
        </w:rPr>
        <w:lastRenderedPageBreak/>
        <w:t>đổi, bổ sung đối với hồ sơ sửa đổi, bổ sung, Cục Quản lý Dược/ Cục Quản lý Y, Dược cổ truyền cấp phép nhập khẩu theo quy định tại bước 3. Trong thời hạn 06 (sáu) tháng, kể từ ngày Cục Quản lý Dược/ Cục Quản lý Y, Dược cổ truyền có văn bản thông báo sửa đổi, bổ sung, cơ sở đề nghị cấp phép nhập khẩu phải nộp hồ sơ sửa đổi, bổ sung theo</w:t>
      </w:r>
      <w:r>
        <w:rPr>
          <w:rFonts w:ascii="Times New Roman" w:eastAsia="Times New Roman" w:hAnsi="Times New Roman" w:cs="Times New Roman"/>
          <w:sz w:val="26"/>
        </w:rPr>
        <w:t xml:space="preserve"> yêu cầu. Sau thời hạn trên, cơ sở không nộp hồ sơ sửa đổi, bổ sung thì hồ sơ đã nộp không còn giá trị. Bước 5: Trong thời hạn 05 (năm) ngày làm việc, kể từ ngày cấp phép nhập khẩu thuốc, Bộ Y tế có trách nhiệm công bố trên Cổng thông tin điện tử của Bộ Y tế bao gồm thông tin nhà nhập khẩu, nhà sản xuất, số lượng, tên thuốc và số giấy phép nhập khẩu, số lượng giấy đăng ký lưu hành đối với mỗi hoạt chất. * Thời gian cấp phép nhập khẩu hoặc có văn bản thông báo sửa đổi, bổ sung đối với các hồ sơ đề nghị cấp p</w:t>
      </w:r>
      <w:r>
        <w:rPr>
          <w:rFonts w:ascii="Times New Roman" w:eastAsia="Times New Roman" w:hAnsi="Times New Roman" w:cs="Times New Roman"/>
          <w:sz w:val="26"/>
        </w:rPr>
        <w:t>hép nhập khẩu thuốc mới, thuốc hiếm, vắc xin đã được Tổ chức Y tế Thế giới tiền thẩm định, thuốc công nghệ cao, thuốc đã được thử lâm sàng tại Việt Nam được ưu tiên rút ngắn 10 ngày so với thời gian tại bước 3, bước 4.</w:t>
      </w:r>
    </w:p>
    <w:p w:rsidR="007759EF" w:rsidRDefault="002239A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36"/>
        <w:gridCol w:w="880"/>
        <w:gridCol w:w="1488"/>
        <w:gridCol w:w="6207"/>
      </w:tblGrid>
      <w:tr w:rsidR="007759EF">
        <w:tblPrEx>
          <w:tblCellMar>
            <w:top w:w="0" w:type="dxa"/>
            <w:bottom w:w="0" w:type="dxa"/>
          </w:tblCellMar>
        </w:tblPrEx>
        <w:tc>
          <w:tcPr>
            <w:tcW w:w="1500" w:type="dxa"/>
          </w:tcPr>
          <w:p w:rsidR="007759EF" w:rsidRDefault="007759EF"/>
          <w:p w:rsidR="007759EF" w:rsidRDefault="002239AB">
            <w:pPr>
              <w:spacing w:after="0" w:line="276" w:lineRule="auto"/>
              <w:jc w:val="center"/>
            </w:pPr>
            <w:r>
              <w:rPr>
                <w:rFonts w:ascii="Times New Roman" w:eastAsia="Times New Roman" w:hAnsi="Times New Roman" w:cs="Times New Roman"/>
                <w:b/>
                <w:sz w:val="26"/>
              </w:rPr>
              <w:t>Hình thức nộp</w:t>
            </w:r>
          </w:p>
        </w:tc>
        <w:tc>
          <w:tcPr>
            <w:tcW w:w="2000" w:type="dxa"/>
          </w:tcPr>
          <w:p w:rsidR="007759EF" w:rsidRDefault="007759EF"/>
          <w:p w:rsidR="007759EF" w:rsidRDefault="002239A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759EF" w:rsidRDefault="007759EF"/>
          <w:p w:rsidR="007759EF" w:rsidRDefault="002239AB">
            <w:pPr>
              <w:spacing w:after="0" w:line="276" w:lineRule="auto"/>
              <w:jc w:val="center"/>
            </w:pPr>
            <w:r>
              <w:rPr>
                <w:rFonts w:ascii="Times New Roman" w:eastAsia="Times New Roman" w:hAnsi="Times New Roman" w:cs="Times New Roman"/>
                <w:b/>
                <w:sz w:val="26"/>
              </w:rPr>
              <w:t>Phí, lệ phí</w:t>
            </w:r>
          </w:p>
        </w:tc>
        <w:tc>
          <w:tcPr>
            <w:tcW w:w="3000" w:type="dxa"/>
          </w:tcPr>
          <w:p w:rsidR="007759EF" w:rsidRDefault="007759EF"/>
          <w:p w:rsidR="007759EF" w:rsidRDefault="002239AB">
            <w:pPr>
              <w:spacing w:after="0" w:line="276" w:lineRule="auto"/>
              <w:jc w:val="center"/>
            </w:pPr>
            <w:r>
              <w:rPr>
                <w:rFonts w:ascii="Times New Roman" w:eastAsia="Times New Roman" w:hAnsi="Times New Roman" w:cs="Times New Roman"/>
                <w:b/>
                <w:sz w:val="26"/>
              </w:rPr>
              <w:t>Mô tả</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Trực tiếp</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90 Ngày</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Phí : 1.200.000 Đồng</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Trường hợp hồ sơ đề nghị cấp phép nhập khẩu thuốc mới, thuốc hiếm, vắc xin đã được Tổ chức Y tế Thế giới tiền thẩm định, thuốc công nghệ cao, thuốc đã được thử lâm sàng tại Việt Nam, thời hạn giải quyết được ưu tiên rút ngắn 10 ngày so với thời hạn nêu trên</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Trực tuyến</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90 Ngày</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Phí : 1.200.000 Đồng</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 xml:space="preserve">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Trường hợp hồ sơ đề nghị cấp phép nhập khẩu thuốc mới, thuốc hiếm, vắc xin đã </w:t>
            </w:r>
            <w:r>
              <w:rPr>
                <w:rFonts w:ascii="Times New Roman" w:eastAsia="Times New Roman" w:hAnsi="Times New Roman" w:cs="Times New Roman"/>
                <w:sz w:val="26"/>
              </w:rPr>
              <w:lastRenderedPageBreak/>
              <w:t>được Tổ chức Y tế Thế giới tiền thẩm định, thuốc công nghệ cao, thuốc đã được thử lâm sàng tại Việt Nam, thời hạn giải quyết được ưu tiên rút ngắn 10 ngày so với thời hạn nêu trên</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Dịch vụ bưu chính</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90 Ngày</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Phí : 1.200.000 Đồng</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Trường hợp hồ sơ đề nghị cấp phép nhập khẩu thuốc mới, thuốc hiếm, vắc xin đã được Tổ chức Y tế Thế giới tiền thẩm định, thuốc công nghệ cao, thuốc đã được thử lâm sàng tại Việt Nam, thời hạn giải quyết được ưu tiên rút ngắn 10 ngày so với thời hạn nêu trên</w:t>
            </w:r>
          </w:p>
        </w:tc>
      </w:tr>
    </w:tbl>
    <w:p w:rsidR="007759EF" w:rsidRDefault="002239AB">
      <w:pPr>
        <w:spacing w:before="240" w:after="0" w:line="276" w:lineRule="auto"/>
        <w:jc w:val="both"/>
      </w:pPr>
      <w:r>
        <w:rPr>
          <w:rFonts w:ascii="Times New Roman" w:eastAsia="Times New Roman" w:hAnsi="Times New Roman" w:cs="Times New Roman"/>
          <w:b/>
          <w:sz w:val="26"/>
        </w:rPr>
        <w:t xml:space="preserve">Thành phần hồ sơ: </w:t>
      </w:r>
    </w:p>
    <w:p w:rsidR="007759EF" w:rsidRDefault="002239A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45"/>
        <w:gridCol w:w="1154"/>
        <w:gridCol w:w="926"/>
      </w:tblGrid>
      <w:tr w:rsidR="007759EF">
        <w:tblPrEx>
          <w:tblCellMar>
            <w:top w:w="0" w:type="dxa"/>
            <w:bottom w:w="0" w:type="dxa"/>
          </w:tblCellMar>
        </w:tblPrEx>
        <w:tc>
          <w:tcPr>
            <w:tcW w:w="6000" w:type="dxa"/>
          </w:tcPr>
          <w:p w:rsidR="007759EF" w:rsidRDefault="007759EF"/>
          <w:p w:rsidR="007759EF" w:rsidRDefault="002239AB">
            <w:pPr>
              <w:spacing w:after="0" w:line="276" w:lineRule="auto"/>
              <w:jc w:val="center"/>
            </w:pPr>
            <w:r>
              <w:rPr>
                <w:rFonts w:ascii="Times New Roman" w:eastAsia="Times New Roman" w:hAnsi="Times New Roman" w:cs="Times New Roman"/>
                <w:b/>
                <w:sz w:val="26"/>
              </w:rPr>
              <w:t>Tên giấy tờ</w:t>
            </w:r>
          </w:p>
        </w:tc>
        <w:tc>
          <w:tcPr>
            <w:tcW w:w="2000" w:type="dxa"/>
          </w:tcPr>
          <w:p w:rsidR="007759EF" w:rsidRDefault="007759EF"/>
          <w:p w:rsidR="007759EF" w:rsidRDefault="002239AB">
            <w:pPr>
              <w:spacing w:after="0" w:line="276" w:lineRule="auto"/>
              <w:jc w:val="center"/>
            </w:pPr>
            <w:r>
              <w:rPr>
                <w:rFonts w:ascii="Times New Roman" w:eastAsia="Times New Roman" w:hAnsi="Times New Roman" w:cs="Times New Roman"/>
                <w:b/>
                <w:sz w:val="26"/>
              </w:rPr>
              <w:t>Mẫu đơn, tờ khai</w:t>
            </w:r>
          </w:p>
        </w:tc>
        <w:tc>
          <w:tcPr>
            <w:tcW w:w="2000" w:type="dxa"/>
          </w:tcPr>
          <w:p w:rsidR="007759EF" w:rsidRDefault="007759EF"/>
          <w:p w:rsidR="007759EF" w:rsidRDefault="002239AB">
            <w:pPr>
              <w:spacing w:after="0" w:line="276" w:lineRule="auto"/>
              <w:jc w:val="center"/>
            </w:pPr>
            <w:r>
              <w:rPr>
                <w:rFonts w:ascii="Times New Roman" w:eastAsia="Times New Roman" w:hAnsi="Times New Roman" w:cs="Times New Roman"/>
                <w:b/>
                <w:sz w:val="26"/>
              </w:rPr>
              <w:t>Số lượng</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 xml:space="preserve">a) </w:t>
            </w:r>
            <w:r>
              <w:rPr>
                <w:rFonts w:ascii="Times New Roman" w:eastAsia="Times New Roman" w:hAnsi="Times New Roman" w:cs="Times New Roman"/>
                <w:sz w:val="26"/>
              </w:rPr>
              <w:t>Đơn hàng nhập khẩu - Mẫu số 15 Phụ lục III của Nghị định số 163/2025/NĐ-CP đối với vắc xin, sinh phẩm, thuốc hóa dược; - Mẫu số 16 Phụ lục III của Nghị định số 163/2025/NĐ-CP đối với thuốc gây nghiện, thuốc hướng thần, thuốc tiền chất, thuốc dạng phối hợp có chứa dược chất gây nghiện, thuốc dạng phối hợp có chứa dược chất hướng thần, thuốc dạng phối hợp có chứa tiền chất; - Mẫu số 17 Phụ lục III của Nghị định số 163/2025/NĐ-CP đối với thuốc dược liệu, thuốc cổ truyền.</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Mu.docx</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b) Bản chính hoặc bản sao có chứng thực hoặc bản sao kèm xuất trình bản chính để đối chiếu Giấy chứng nhận sản phẩm dược phẩm;</w:t>
            </w:r>
          </w:p>
        </w:tc>
        <w:tc>
          <w:tcPr>
            <w:tcW w:w="0" w:type="auto"/>
          </w:tcPr>
          <w:p w:rsidR="007759EF" w:rsidRDefault="007759EF"/>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 xml:space="preserve">c) </w:t>
            </w:r>
            <w:r>
              <w:rPr>
                <w:rFonts w:ascii="Times New Roman" w:eastAsia="Times New Roman" w:hAnsi="Times New Roman" w:cs="Times New Roman"/>
                <w:sz w:val="26"/>
              </w:rPr>
              <w:t>Hồ sơ chất lượng theo quy định của Bộ trưởng Bộ Y tế về áp dụng hồ sơ kỹ thuật chung ASEAN (ACTD) hoặc hồ sơ kỹ thuật chung ICH-CTD trong đăng ký thuốc hoặc tiêu chuẩn chất lượng và kết quả nghiên cứu tương đương sinh học theo quy định tại khoản 6 Điều 61 Nghị định số 163/2025/NĐ-CP;</w:t>
            </w:r>
          </w:p>
        </w:tc>
        <w:tc>
          <w:tcPr>
            <w:tcW w:w="0" w:type="auto"/>
          </w:tcPr>
          <w:p w:rsidR="007759EF" w:rsidRDefault="007759EF"/>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d) 01 bộ mẫu nhãn thuốc và tờ hướng dẫn sử dụng thuốc lưu hành thực tế tại nước sản xuất hoặc nước xuất khẩu có dấu xác nhận của cơ sở sản xuất hoặc cơ sở sở hữu sản phẩm hoặc của cơ sở sở hữu giấy phép sản phẩm (ghi trên Giấy chứng nhận sản phẩm dược phẩm) và cơ sở nhập khẩu (chấp nhận bản in màu theo đúng mẫu nhãn đang lưu hành ở nước sở tại); Bản chính: 1 Bản sao: 0 đ) 02 bộ mẫu nhãn dự kiến lưu hành tại Việt Nam kèm tờ hướng dẫn sử dụng tiếng Việt có đóng dấu của cơ sở nhập khẩu;</w:t>
            </w:r>
          </w:p>
        </w:tc>
        <w:tc>
          <w:tcPr>
            <w:tcW w:w="0" w:type="auto"/>
          </w:tcPr>
          <w:p w:rsidR="007759EF" w:rsidRDefault="007759EF"/>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e) Hồ sơ lâm sàng đối với các thuốc phải nộp hồ sơ lâm sàng theo quy định của Bộ trưởng Bộ Y tế về đăng ký thuốc. Miễn nộp tài liệu tại điểm này trong trường hợp thuốc đã từng được cấp phép nhập khẩu theo quy định tại Điều 52 Nghị định số 163/2025/NĐ-CP và không có thay đổi thông tin liên quan đến chỉ định, liều dùng, đối tượng sử dụng;</w:t>
            </w:r>
          </w:p>
        </w:tc>
        <w:tc>
          <w:tcPr>
            <w:tcW w:w="0" w:type="auto"/>
          </w:tcPr>
          <w:p w:rsidR="007759EF" w:rsidRDefault="007759EF"/>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g) Đối với thuốc cổ truyền có sự kết hợp mới của các dược liệu đã từng sử dụng làm thuốc tại Việt Nam phải có hồ sơ lâm sàng đầy đủ chứng minh đạt an toàn, hiệu quả theo quy định tại Điều 89 của Luật Dược và tài liệu chứng minh phương pháp chế biến, bào chế hoặc phối ngũ theo lý luận của y học cổ truyền</w:t>
            </w:r>
          </w:p>
        </w:tc>
        <w:tc>
          <w:tcPr>
            <w:tcW w:w="0" w:type="auto"/>
          </w:tcPr>
          <w:p w:rsidR="007759EF" w:rsidRDefault="007759EF"/>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h) Báo cáo kết quả kinh doanh thuốc trong trường hợp thuốc nhập khẩu là thuốc gây nghiện, thuốc hướng thần, thuốc tiền chất, thuốc dạng phối hợp có chứa dược chất gây nghiện, thuốc dạng phối hợp có chứa dược chất hướng thần, thuốc dạng phối hợp có chứa tiền chất, theo Mẫu số 18 Phụ lục III của Nghị định số 163/2025/NĐ-CP; Mẫu số 18 Phụ lục III Nghị định số 163/2025/NĐ-CP</w:t>
            </w:r>
          </w:p>
        </w:tc>
        <w:tc>
          <w:tcPr>
            <w:tcW w:w="0" w:type="auto"/>
          </w:tcPr>
          <w:p w:rsidR="007759EF" w:rsidRDefault="007759EF"/>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 xml:space="preserve">i) Bản chính hoặc bản sao có chứng thực hoặc bản sao kèm xuất trình bản chính để đối chiếu giấy chứng nhận Thực hành tốt sản xuất hoặc giấy phép sản xuất của tất cả các cơ sở tham gia sản xuất thuốc nhập khẩu. Trường hợp cơ quan quản lý có thẩm quyền không cấp giấy chứng nhận Thực hành tốt sản xuất hoặc giấy phép sản xuất, cơ sở nhập khẩu nộp bản chính hoặc bản sao có chứng thực hoặc bản sao kèm xuất trình bản chính để đối chiếu báo cáo kiểm tra Thực hành tốt sản xuất của tất cả các cơ sở tham gia sản xuất </w:t>
            </w:r>
            <w:r>
              <w:rPr>
                <w:rFonts w:ascii="Times New Roman" w:eastAsia="Times New Roman" w:hAnsi="Times New Roman" w:cs="Times New Roman"/>
                <w:sz w:val="26"/>
              </w:rPr>
              <w:t>thuốc nhập khẩu. Miễn nộp tài liệu tại điểm này đối với trường hợp cơ sở sản xuất đã được xác nhận đạt nguyên tắc, tiêu chuẩn Thực hành tốt sản xuất trên Giấy chứng nhận sản phẩm dược phẩm;</w:t>
            </w:r>
          </w:p>
        </w:tc>
        <w:tc>
          <w:tcPr>
            <w:tcW w:w="0" w:type="auto"/>
          </w:tcPr>
          <w:p w:rsidR="007759EF" w:rsidRDefault="007759EF"/>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Giấy  tờ  trong  hồ  sơ  đề nghị cấp phép nhập khẩu thuốc: theo quy định tại Điều 61 Nghị định số 163/2025/NĐ-CP</w:t>
            </w:r>
          </w:p>
        </w:tc>
        <w:tc>
          <w:tcPr>
            <w:tcW w:w="0" w:type="auto"/>
          </w:tcPr>
          <w:p w:rsidR="007759EF" w:rsidRDefault="007759EF"/>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759EF" w:rsidRDefault="002239A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7759EF" w:rsidRDefault="002239A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7759EF" w:rsidRDefault="002239A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759EF" w:rsidRDefault="002239A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759EF" w:rsidRDefault="002239A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759EF" w:rsidRDefault="002239A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759EF" w:rsidRDefault="002239A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yêu cầu sửa đổi, bổ sung hồ sơ, Văn bản thông báo cho cơ sở về việc không cấp phép nhập</w:t>
      </w:r>
    </w:p>
    <w:p w:rsidR="007759EF" w:rsidRDefault="002239A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37"/>
        <w:gridCol w:w="4949"/>
        <w:gridCol w:w="992"/>
        <w:gridCol w:w="1647"/>
      </w:tblGrid>
      <w:tr w:rsidR="007759EF">
        <w:tblPrEx>
          <w:tblCellMar>
            <w:top w:w="0" w:type="dxa"/>
            <w:bottom w:w="0" w:type="dxa"/>
          </w:tblCellMar>
        </w:tblPrEx>
        <w:tc>
          <w:tcPr>
            <w:tcW w:w="2000" w:type="dxa"/>
          </w:tcPr>
          <w:p w:rsidR="007759EF" w:rsidRDefault="007759EF"/>
          <w:p w:rsidR="007759EF" w:rsidRDefault="002239AB">
            <w:pPr>
              <w:spacing w:after="0" w:line="276" w:lineRule="auto"/>
              <w:jc w:val="center"/>
            </w:pPr>
            <w:r>
              <w:rPr>
                <w:rFonts w:ascii="Times New Roman" w:eastAsia="Times New Roman" w:hAnsi="Times New Roman" w:cs="Times New Roman"/>
                <w:b/>
                <w:sz w:val="26"/>
              </w:rPr>
              <w:t>Số ký hiệu</w:t>
            </w:r>
          </w:p>
        </w:tc>
        <w:tc>
          <w:tcPr>
            <w:tcW w:w="3500" w:type="dxa"/>
          </w:tcPr>
          <w:p w:rsidR="007759EF" w:rsidRDefault="007759EF"/>
          <w:p w:rsidR="007759EF" w:rsidRDefault="002239AB">
            <w:pPr>
              <w:spacing w:after="0" w:line="276" w:lineRule="auto"/>
              <w:jc w:val="center"/>
            </w:pPr>
            <w:r>
              <w:rPr>
                <w:rFonts w:ascii="Times New Roman" w:eastAsia="Times New Roman" w:hAnsi="Times New Roman" w:cs="Times New Roman"/>
                <w:b/>
                <w:sz w:val="26"/>
              </w:rPr>
              <w:t>Trích yếu</w:t>
            </w:r>
          </w:p>
        </w:tc>
        <w:tc>
          <w:tcPr>
            <w:tcW w:w="1500" w:type="dxa"/>
          </w:tcPr>
          <w:p w:rsidR="007759EF" w:rsidRDefault="007759EF"/>
          <w:p w:rsidR="007759EF" w:rsidRDefault="002239AB">
            <w:pPr>
              <w:spacing w:after="0" w:line="276" w:lineRule="auto"/>
              <w:jc w:val="center"/>
            </w:pPr>
            <w:r>
              <w:rPr>
                <w:rFonts w:ascii="Times New Roman" w:eastAsia="Times New Roman" w:hAnsi="Times New Roman" w:cs="Times New Roman"/>
                <w:b/>
                <w:sz w:val="26"/>
              </w:rPr>
              <w:t>Ngày ban hành</w:t>
            </w:r>
          </w:p>
        </w:tc>
        <w:tc>
          <w:tcPr>
            <w:tcW w:w="3000" w:type="dxa"/>
          </w:tcPr>
          <w:p w:rsidR="007759EF" w:rsidRDefault="007759EF"/>
          <w:p w:rsidR="007759EF" w:rsidRDefault="002239AB">
            <w:pPr>
              <w:spacing w:after="0" w:line="276" w:lineRule="auto"/>
              <w:jc w:val="center"/>
            </w:pPr>
            <w:r>
              <w:rPr>
                <w:rFonts w:ascii="Times New Roman" w:eastAsia="Times New Roman" w:hAnsi="Times New Roman" w:cs="Times New Roman"/>
                <w:b/>
                <w:sz w:val="26"/>
              </w:rPr>
              <w:t>Cơ quan ban hành</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105/2016/QH13</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06-04-2016</w:t>
            </w:r>
          </w:p>
        </w:tc>
        <w:tc>
          <w:tcPr>
            <w:tcW w:w="0" w:type="auto"/>
          </w:tcPr>
          <w:p w:rsidR="007759EF" w:rsidRDefault="007759EF"/>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41/2023/TT-BTC</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41/2023/TT-BTC</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12-06-2023</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Bộ Tài chính</w:t>
            </w:r>
          </w:p>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44/2024/QH15</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21-11-2024</w:t>
            </w:r>
          </w:p>
        </w:tc>
        <w:tc>
          <w:tcPr>
            <w:tcW w:w="0" w:type="auto"/>
          </w:tcPr>
          <w:p w:rsidR="007759EF" w:rsidRDefault="007759EF"/>
        </w:tc>
      </w:tr>
      <w:tr w:rsidR="007759EF">
        <w:tblPrEx>
          <w:tblCellMar>
            <w:top w:w="0" w:type="dxa"/>
            <w:bottom w:w="0" w:type="dxa"/>
          </w:tblCellMar>
        </w:tblPrEx>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163/2025/NĐ-CP</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7759EF" w:rsidRDefault="007759EF"/>
          <w:p w:rsidR="007759EF" w:rsidRDefault="002239AB">
            <w:pPr>
              <w:spacing w:after="0" w:line="276" w:lineRule="auto"/>
            </w:pPr>
            <w:r>
              <w:rPr>
                <w:rFonts w:ascii="Times New Roman" w:eastAsia="Times New Roman" w:hAnsi="Times New Roman" w:cs="Times New Roman"/>
                <w:sz w:val="26"/>
              </w:rPr>
              <w:t>29-06-2025</w:t>
            </w:r>
          </w:p>
        </w:tc>
        <w:tc>
          <w:tcPr>
            <w:tcW w:w="0" w:type="auto"/>
          </w:tcPr>
          <w:p w:rsidR="007759EF" w:rsidRDefault="007759EF"/>
        </w:tc>
      </w:tr>
    </w:tbl>
    <w:p w:rsidR="007759EF" w:rsidRDefault="002239A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Điều kiện thực hiện thủ tục hành chính (nếu có):  1. Thuốc chưa có Giấy đăng ký lưu hành thuốc tại Việt Nam được cấp phép nhập khẩu khi đáp ứng các tiêu chí sau:  a) Thuộc Danh mục thuốc chưa đáp ứng đủ nhu cầu điều trị do Bộ trưởng Bộ Y tế công bố; b) Được cấp phép lưu hành tại một trong các nước sau: Nước sản xuất hoặc nước là thành viên ICH hoặc Australia. 2. Cơ sở nhập khẩu là cơ sở đã được cấp Giấy chứng nhận đủ điều kiện kinh doanh dược, phạm vi: xuất khẩu, nhập khẩu thuốc có phạm vi kinh doa</w:t>
      </w:r>
      <w:r>
        <w:rPr>
          <w:rFonts w:ascii="Times New Roman" w:eastAsia="Times New Roman" w:hAnsi="Times New Roman" w:cs="Times New Roman"/>
          <w:sz w:val="26"/>
        </w:rPr>
        <w:t>nh phù hợp với thuốc đề nghị nhập khẩu thuốc.</w:t>
      </w:r>
    </w:p>
    <w:p w:rsidR="007759EF" w:rsidRDefault="002239A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759EF" w:rsidRDefault="002239A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https://thutuc.dichvucong.gov.vn/p/home/dvc-tthc-thu-tuc-hanh-chinh-chi-tiet.html?ma_thu_tuc=406800</w:t>
      </w:r>
    </w:p>
    <w:sectPr w:rsidR="007759E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759EF"/>
    <w:rsid w:val="002239AB"/>
    <w:rsid w:val="007759EF"/>
    <w:rsid w:val="0095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72DF3C-6EB6-4F69-8C81-189D0424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1587</Words>
  <Characters>9052</Characters>
  <Application>Microsoft Office Word</Application>
  <DocSecurity>0</DocSecurity>
  <Lines>75</Lines>
  <Paragraphs>21</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2025-12-02T12:15:00Z</dcterms:created>
  <dcterms:modified xsi:type="dcterms:W3CDTF">2025-12-02T12:15:00Z</dcterms:modified>
</cp:coreProperties>
</file>