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9B7" w:rsidRDefault="00F11DE1">
      <w:pPr>
        <w:spacing w:after="300" w:line="276" w:lineRule="auto"/>
        <w:jc w:val="center"/>
      </w:pPr>
      <w:r>
        <w:rPr>
          <w:rFonts w:ascii="Times New Roman" w:eastAsia="Times New Roman" w:hAnsi="Times New Roman" w:cs="Times New Roman"/>
          <w:b/>
          <w:sz w:val="26"/>
        </w:rPr>
        <w:t>Chi tiết thủ tục hành chính</w:t>
      </w:r>
    </w:p>
    <w:p w:rsidR="001F49B7" w:rsidRDefault="00F11D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1.014074</w:t>
      </w:r>
    </w:p>
    <w:p w:rsidR="001F49B7" w:rsidRDefault="00F11D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1F49B7" w:rsidRDefault="00F11D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hiếm chưa có Giấy đăng ký lưu hành thuốc tại Việt Nam</w:t>
      </w:r>
    </w:p>
    <w:p w:rsidR="001F49B7" w:rsidRDefault="00F11D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F49B7" w:rsidRDefault="00F11D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F49B7" w:rsidRDefault="00F11D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1F49B7" w:rsidRDefault="00F11DE1">
      <w:pPr>
        <w:spacing w:after="0" w:line="276" w:lineRule="auto"/>
        <w:jc w:val="both"/>
      </w:pPr>
      <w:r>
        <w:rPr>
          <w:rFonts w:ascii="Times New Roman" w:eastAsia="Times New Roman" w:hAnsi="Times New Roman" w:cs="Times New Roman"/>
          <w:b/>
          <w:sz w:val="26"/>
        </w:rPr>
        <w:t xml:space="preserve">Trình tự thực hiện: </w:t>
      </w:r>
    </w:p>
    <w:p w:rsidR="001F49B7" w:rsidRDefault="001F49B7">
      <w:pPr>
        <w:shd w:val="clear" w:color="auto" w:fill="F2F6F9"/>
        <w:spacing w:before="120" w:after="0" w:line="276" w:lineRule="auto"/>
        <w:jc w:val="both"/>
      </w:pPr>
    </w:p>
    <w:p w:rsidR="001F49B7" w:rsidRDefault="00F11DE1">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thuốc hóa dược, thuốc dược liệu, vắc xin, sinh phẩm ;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w:t>
      </w:r>
      <w:r>
        <w:rPr>
          <w:rFonts w:ascii="Times New Roman" w:eastAsia="Times New Roman" w:hAnsi="Times New Roman" w:cs="Times New Roman"/>
          <w:sz w:val="26"/>
        </w:rPr>
        <w:t>ếp nhận hồ sơ, trong thời hạn 50 (năm mươi) ngày, Cục Quản lý Dược/ Cục Quản lý Y, Dược cổ truyền cấp phép nhập khẩu trên cơ sở thẩm định hồ sơ, tư vấn của hội đồng có chức năng tư vấn cấp giấy phép nhập khẩu thuốc; Trường hợp có yêu cầu sửa đổi, bổ sung hồ sơ, kể từ ngày ghi trên Phiếu tiếp nhận hồ sơ, trong thời hạn 50 (năm mươi) ngày, Cục Quản lý Dược/ Cục Quản lý Y, Dược cổ truyền gửi văn bản cho cơ sở để yêu cầu sửa đổi, bổ sung hồ sơ theo Mẫu số 16 tại Phụ lục I Nghị định số 163/2025/NĐ-CP; Bước 4: Sa</w:t>
      </w:r>
      <w:r>
        <w:rPr>
          <w:rFonts w:ascii="Times New Roman" w:eastAsia="Times New Roman" w:hAnsi="Times New Roman" w:cs="Times New Roman"/>
          <w:sz w:val="26"/>
        </w:rPr>
        <w:t xml:space="preserve">u khi nhận hồ sơ sửa đổi, bổ sung, cơ quan tiếp nhận hồ sơ trả cơ sở Phiếu tiếp nhận hồ sơ sửa đổi, bổ sung theo Mẫu số 01 Phụ lục I của Nghị định số 163/2025/NĐ-CP. Trường hợp hồ sơ sửa đổi, bổ sung không đáp ứng yêu cầu, kể từ ngày ghi trên Phiếu tiếp nhận hồ sơ, trong thời hạn 50 (năm mươi) ngày, Cục Quản lý Dược/ Cục Quản lý Y, Dược cổ truyền có văn bản thông báo cho cơ sở về việc không cấp phép nhập khẩu theo Mẫu số 16 Phụ lục I Nghị định số 163/2025/NĐ-CP. Trường hợp không có yêu cầu sửa đổi, bổ sung </w:t>
      </w:r>
      <w:r>
        <w:rPr>
          <w:rFonts w:ascii="Times New Roman" w:eastAsia="Times New Roman" w:hAnsi="Times New Roman" w:cs="Times New Roman"/>
          <w:sz w:val="26"/>
        </w:rPr>
        <w:t>đối với hồ sơ sửa đổi, bổ sung, Cục Quản lý Dược/ Cục Quản lý Y, Dược cổ truyền cấp phép nhập khẩu theo quy định tại bước 3. Trong thời hạn 06 (sáu) tháng, kể từ ngày Cục Quản lý Dược/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 Bước 5: Trong thời hạn 05 (năm) ngày làm việc, kể từ ngày cấp phép nhập khẩu thuốc, B</w:t>
      </w:r>
      <w:r>
        <w:rPr>
          <w:rFonts w:ascii="Times New Roman" w:eastAsia="Times New Roman" w:hAnsi="Times New Roman" w:cs="Times New Roman"/>
          <w:sz w:val="26"/>
        </w:rPr>
        <w:t>ộ Y tế có trách nhiệm công bố trên Cổng thông tin điện tử của Bộ Y tế bao gồm thông tin nhà nhập khẩu, nhà sản xuất, số lượng, tên thuốc và số giấy phép nhập khẩu, số lượng giấy đăng ký lưu hành đối với mỗi hoạt chất.</w:t>
      </w:r>
    </w:p>
    <w:p w:rsidR="001F49B7" w:rsidRDefault="00F11DE1">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8"/>
        <w:gridCol w:w="1569"/>
        <w:gridCol w:w="4140"/>
        <w:gridCol w:w="2174"/>
      </w:tblGrid>
      <w:tr w:rsidR="001F49B7">
        <w:tblPrEx>
          <w:tblCellMar>
            <w:top w:w="0" w:type="dxa"/>
            <w:bottom w:w="0" w:type="dxa"/>
          </w:tblCellMar>
        </w:tblPrEx>
        <w:tc>
          <w:tcPr>
            <w:tcW w:w="15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Hình thức nộp</w:t>
            </w:r>
          </w:p>
        </w:tc>
        <w:tc>
          <w:tcPr>
            <w:tcW w:w="2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Phí, lệ phí</w:t>
            </w:r>
          </w:p>
        </w:tc>
        <w:tc>
          <w:tcPr>
            <w:tcW w:w="3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Mô tả</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Trực tiếp</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50 Ngày</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Phí : 1.200.000 Đồng (1.200.000 đồng/ khoản thuốc)</w:t>
            </w:r>
          </w:p>
        </w:tc>
        <w:tc>
          <w:tcPr>
            <w:tcW w:w="0" w:type="auto"/>
          </w:tcPr>
          <w:p w:rsidR="001F49B7" w:rsidRDefault="001F49B7"/>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Trực tuyến</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50 Ngày</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Phí : 1.200.000 Đồng (1.200.000 đồng/ khoản thuốc)</w:t>
            </w:r>
          </w:p>
        </w:tc>
        <w:tc>
          <w:tcPr>
            <w:tcW w:w="0" w:type="auto"/>
          </w:tcPr>
          <w:p w:rsidR="001F49B7" w:rsidRDefault="001F49B7"/>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Dịch vụ bưu chính</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50 Ngày</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Phí : 1.200.000 Đồng (1.200.000 đồng/ khoản thuốc)</w:t>
            </w:r>
          </w:p>
        </w:tc>
        <w:tc>
          <w:tcPr>
            <w:tcW w:w="0" w:type="auto"/>
          </w:tcPr>
          <w:p w:rsidR="001F49B7" w:rsidRDefault="001F49B7"/>
        </w:tc>
      </w:tr>
    </w:tbl>
    <w:p w:rsidR="001F49B7" w:rsidRDefault="00F11DE1">
      <w:pPr>
        <w:spacing w:before="240" w:after="0" w:line="276" w:lineRule="auto"/>
        <w:jc w:val="both"/>
      </w:pPr>
      <w:r>
        <w:rPr>
          <w:rFonts w:ascii="Times New Roman" w:eastAsia="Times New Roman" w:hAnsi="Times New Roman" w:cs="Times New Roman"/>
          <w:b/>
          <w:sz w:val="26"/>
        </w:rPr>
        <w:t xml:space="preserve">Thành phần hồ sơ: </w:t>
      </w:r>
    </w:p>
    <w:p w:rsidR="001F49B7" w:rsidRDefault="00F11DE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2"/>
        <w:gridCol w:w="1153"/>
        <w:gridCol w:w="926"/>
      </w:tblGrid>
      <w:tr w:rsidR="001F49B7">
        <w:tblPrEx>
          <w:tblCellMar>
            <w:top w:w="0" w:type="dxa"/>
            <w:bottom w:w="0" w:type="dxa"/>
          </w:tblCellMar>
        </w:tblPrEx>
        <w:tc>
          <w:tcPr>
            <w:tcW w:w="6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Tên giấy tờ</w:t>
            </w:r>
          </w:p>
        </w:tc>
        <w:tc>
          <w:tcPr>
            <w:tcW w:w="2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Mẫu đơn, tờ khai</w:t>
            </w:r>
          </w:p>
        </w:tc>
        <w:tc>
          <w:tcPr>
            <w:tcW w:w="2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Số lượng</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Đơn hàng nhập khẩu - Mẫu số 15 Phụ lục III của Nghị định số 163/2025/NĐ-CP đối với vắc xin, sinh phẩm, thuốc hóa dược; - Mẫu số 16 Phụ lục III của Nghị định số 163/2025/NĐ-CP đối với thuốc gây nghiện, thuốc hướng thần, thuốc tiền chất, thuốc dạng phối hợp có chứa dược chất gây nghiện, thuốc dạng phối hợp có chứa dược chất hướng thần, thuốc dạng phối hợp có chứa tiền chất; - Mẫu số 17 Phụ lục III của Nghị định số 163/2025/NĐ-CP đối với thuốc dược liệu, thuốc cổ truyền</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Mu.docx</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hoặc bản sao có chứng thực hoặc bản sao kèm xuất trình bản chính để đối chiếu Giấy chứng nhận sản phẩm dược phẩm</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 xml:space="preserve">Bản sao tiêu chuẩn chất lượng và phương pháp kiểm nghiệm thuốc </w:t>
            </w:r>
            <w:r>
              <w:rPr>
                <w:rFonts w:ascii="Times New Roman" w:eastAsia="Times New Roman" w:hAnsi="Times New Roman" w:cs="Times New Roman"/>
                <w:sz w:val="26"/>
              </w:rPr>
              <w:lastRenderedPageBreak/>
              <w:t>của cơ sở sản xuất có đóng dấu của cơ sở nhập khẩu</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1</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01 bộ mẫu nhãn thuốc và tờ hướng dẫn sử dụng thuốc lưu hành thực tế tại nước sản xuất hoặc nước xuất khẩu có dấu xác nhận của cơ sở sản xuất hoặc cơ sở sở hữu sản phẩm hoặc của cơ sở sở hữu giấy phép sản phẩm (ghi trên Giấy chứng nhận sản phẩm dược phẩm) và cơ sở nhập khẩu (chấp nhận bản in màu theo đúng mẫu nhãn đang lưu hành ở nước sở tại);</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02 bộ mẫu nhãn dự kiến lưu hành tại Việt Nam kèm tờ hướng dẫn sử dụng tiếng Việt có đóng dấu của cơ sở nhập khẩu</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Báo cáo kết quả kinh doanh thuốc trong trường hợp thuốc nhập khẩu là thuốc gây nghiện, thuốc hướng thần, thuốc tiền chất, thuốc dạng phối hợp có chứa dược chất gây nghiện, thuốc dạng phối hợp có chứa dược chất hướng thần, thuốc dạng phối hợp có chứa tiền chất theo Mẫu số 18 tại Phụ lục III ban hành kèm theo Nghị định số 163/2025/NĐ-CP; Mẫu số 18 Phụ lục III Nghị định số 163/2025/NĐ-CP</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tất cả các cơ sở tham gia sản xuất thu</w:t>
            </w:r>
            <w:r>
              <w:rPr>
                <w:rFonts w:ascii="Times New Roman" w:eastAsia="Times New Roman" w:hAnsi="Times New Roman" w:cs="Times New Roman"/>
                <w:sz w:val="26"/>
              </w:rPr>
              <w:t>ốc nhập khẩu. Miễn nộp tài liệu tại điểm này đối với trường hợp cơ sở sản xuất đã được xác nhận đạt nguyên tắc, tiêu chuẩn Thực hành tốt sản xuất trên Giấy chứng nhận sản phẩm dược phẩm.</w:t>
            </w:r>
          </w:p>
        </w:tc>
        <w:tc>
          <w:tcPr>
            <w:tcW w:w="0" w:type="auto"/>
          </w:tcPr>
          <w:p w:rsidR="001F49B7" w:rsidRDefault="001F49B7"/>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1F49B7" w:rsidRDefault="00F11DE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1F49B7" w:rsidRDefault="00F11D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1F49B7" w:rsidRDefault="00F11D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F49B7" w:rsidRDefault="00F11D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F49B7" w:rsidRDefault="00F11DE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F49B7" w:rsidRDefault="00F11D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F49B7" w:rsidRDefault="00F11D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cho cơ sở về việc không cấp phép nhập</w:t>
      </w:r>
    </w:p>
    <w:p w:rsidR="001F49B7" w:rsidRDefault="00F11DE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49"/>
        <w:gridCol w:w="992"/>
        <w:gridCol w:w="1647"/>
      </w:tblGrid>
      <w:tr w:rsidR="001F49B7">
        <w:tblPrEx>
          <w:tblCellMar>
            <w:top w:w="0" w:type="dxa"/>
            <w:bottom w:w="0" w:type="dxa"/>
          </w:tblCellMar>
        </w:tblPrEx>
        <w:tc>
          <w:tcPr>
            <w:tcW w:w="2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Số ký hiệu</w:t>
            </w:r>
          </w:p>
        </w:tc>
        <w:tc>
          <w:tcPr>
            <w:tcW w:w="35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Trích yếu</w:t>
            </w:r>
          </w:p>
        </w:tc>
        <w:tc>
          <w:tcPr>
            <w:tcW w:w="15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Ngày ban hành</w:t>
            </w:r>
          </w:p>
        </w:tc>
        <w:tc>
          <w:tcPr>
            <w:tcW w:w="3000" w:type="dxa"/>
          </w:tcPr>
          <w:p w:rsidR="001F49B7" w:rsidRDefault="001F49B7"/>
          <w:p w:rsidR="001F49B7" w:rsidRDefault="00F11DE1">
            <w:pPr>
              <w:spacing w:after="0" w:line="276" w:lineRule="auto"/>
              <w:jc w:val="center"/>
            </w:pPr>
            <w:r>
              <w:rPr>
                <w:rFonts w:ascii="Times New Roman" w:eastAsia="Times New Roman" w:hAnsi="Times New Roman" w:cs="Times New Roman"/>
                <w:b/>
                <w:sz w:val="26"/>
              </w:rPr>
              <w:t>Cơ quan ban hành</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105/2016/QH13</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06-04-2016</w:t>
            </w:r>
          </w:p>
        </w:tc>
        <w:tc>
          <w:tcPr>
            <w:tcW w:w="0" w:type="auto"/>
          </w:tcPr>
          <w:p w:rsidR="001F49B7" w:rsidRDefault="001F49B7"/>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41/2023/TT-BTC</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41/2023/TT-BTC</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12-06-2023</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Bộ Tài chính</w:t>
            </w:r>
          </w:p>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44/2024/QH15</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21-11-2024</w:t>
            </w:r>
          </w:p>
        </w:tc>
        <w:tc>
          <w:tcPr>
            <w:tcW w:w="0" w:type="auto"/>
          </w:tcPr>
          <w:p w:rsidR="001F49B7" w:rsidRDefault="001F49B7"/>
        </w:tc>
      </w:tr>
      <w:tr w:rsidR="001F49B7">
        <w:tblPrEx>
          <w:tblCellMar>
            <w:top w:w="0" w:type="dxa"/>
            <w:bottom w:w="0" w:type="dxa"/>
          </w:tblCellMar>
        </w:tblPrEx>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163/2025/NĐ-CP</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1F49B7" w:rsidRDefault="001F49B7"/>
          <w:p w:rsidR="001F49B7" w:rsidRDefault="00F11DE1">
            <w:pPr>
              <w:spacing w:after="0" w:line="276" w:lineRule="auto"/>
            </w:pPr>
            <w:r>
              <w:rPr>
                <w:rFonts w:ascii="Times New Roman" w:eastAsia="Times New Roman" w:hAnsi="Times New Roman" w:cs="Times New Roman"/>
                <w:sz w:val="26"/>
              </w:rPr>
              <w:t>29-06-2025</w:t>
            </w:r>
          </w:p>
        </w:tc>
        <w:tc>
          <w:tcPr>
            <w:tcW w:w="0" w:type="auto"/>
          </w:tcPr>
          <w:p w:rsidR="001F49B7" w:rsidRDefault="001F49B7"/>
        </w:tc>
      </w:tr>
    </w:tbl>
    <w:p w:rsidR="001F49B7" w:rsidRDefault="00F11D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chưa có Giấy đăng ký lưu hành thuốc tại Việt Nam được cấp phép nhập khẩu khi đáp ứng các tiêu chí sau: a) Thuộc Danh mục thuốc hiếm; b) Đã được cấp phép lưu hành tại ít nhất một nước trên thế giới.  2. Cơ sở nhập khẩu là cơ sở đã được cấp Giấy chứng nhận đủ điều kiện kinh doanh dược, phạm vi: xuất khẩu, nhập khẩu thuốc có phạm vi kinh doanh phù hợp với thuốc đề nghị nhập khẩu thuốc.</w:t>
      </w:r>
    </w:p>
    <w:p w:rsidR="001F49B7" w:rsidRDefault="00F11DE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F49B7" w:rsidRDefault="00F11DE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https://thutuc.dichvucong.gov.vn/p/home/dvc-tthc-thu-tuc-hanh-chinh-chi-tiet.html?ma_thu_tuc=406901</w:t>
      </w:r>
    </w:p>
    <w:sectPr w:rsidR="001F49B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49B7"/>
    <w:rsid w:val="001F49B7"/>
    <w:rsid w:val="009A0852"/>
    <w:rsid w:val="00F11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9887F-7BB0-433F-84A8-BD22E37D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5767</Characters>
  <Application>Microsoft Office Word</Application>
  <DocSecurity>0</DocSecurity>
  <Lines>48</Lines>
  <Paragraphs>13</Paragraphs>
  <ScaleCrop>false</ScaleCrop>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