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4136" w14:textId="77777777" w:rsidR="00D0479F" w:rsidRDefault="00D77290">
      <w:pPr>
        <w:spacing w:after="300" w:line="276" w:lineRule="auto"/>
        <w:jc w:val="center"/>
      </w:pPr>
      <w:r>
        <w:rPr>
          <w:rFonts w:ascii="Times New Roman" w:eastAsia="Times New Roman" w:hAnsi="Times New Roman" w:cs="Times New Roman"/>
          <w:b/>
          <w:sz w:val="26"/>
        </w:rPr>
        <w:t>Chi tiết thủ tục hành chính</w:t>
      </w:r>
    </w:p>
    <w:p w14:paraId="7FBE7D5E" w14:textId="77777777" w:rsidR="00D0479F" w:rsidRDefault="00D7729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1.014076</w:t>
      </w:r>
    </w:p>
    <w:p w14:paraId="49DC8DA9" w14:textId="77777777" w:rsidR="00D0479F" w:rsidRDefault="00D7729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2D3378D1" w14:textId="77777777" w:rsidR="00D0479F" w:rsidRDefault="00D7729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kinh doanh dược thuộc thẩm quyền của Sở Y tế (Cơ sở bán buôn thuốc, nguyên liệu làm thuốc; Cơ sở bán lẻ thuốc bao gồm nhà thuốc, quầy thuốc, tủ thuốc trạm y tế xã, cơ sở chuyên bán lẻ dược liệu, thuốc dược liệu, thuốc cổ truyền)</w:t>
      </w:r>
    </w:p>
    <w:p w14:paraId="2AAEBD66" w14:textId="77777777" w:rsidR="00D0479F" w:rsidRDefault="00D7729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CA4B2DF" w14:textId="77777777" w:rsidR="00D0479F" w:rsidRDefault="00D7729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56ECD0F" w14:textId="77777777" w:rsidR="00D0479F" w:rsidRDefault="00D7729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26BD8D32" w14:textId="77777777" w:rsidR="00D0479F" w:rsidRDefault="00D77290">
      <w:pPr>
        <w:spacing w:after="0" w:line="276" w:lineRule="auto"/>
        <w:jc w:val="both"/>
      </w:pPr>
      <w:r>
        <w:rPr>
          <w:rFonts w:ascii="Times New Roman" w:eastAsia="Times New Roman" w:hAnsi="Times New Roman" w:cs="Times New Roman"/>
          <w:b/>
          <w:sz w:val="26"/>
        </w:rPr>
        <w:t xml:space="preserve">Trình tự thực hiện: </w:t>
      </w:r>
    </w:p>
    <w:p w14:paraId="50DE7B59" w14:textId="77777777" w:rsidR="00D0479F" w:rsidRDefault="00D0479F">
      <w:pPr>
        <w:shd w:val="clear" w:color="auto" w:fill="F2F6F9"/>
        <w:spacing w:before="120" w:after="0" w:line="276" w:lineRule="auto"/>
        <w:jc w:val="both"/>
      </w:pPr>
    </w:p>
    <w:p w14:paraId="022EEA6A" w14:textId="77777777" w:rsidR="00D0479F" w:rsidRDefault="00D77290">
      <w:pPr>
        <w:spacing w:after="0" w:line="276" w:lineRule="auto"/>
        <w:jc w:val="both"/>
      </w:pPr>
      <w:r>
        <w:rPr>
          <w:rFonts w:ascii="Times New Roman" w:eastAsia="Times New Roman" w:hAnsi="Times New Roman" w:cs="Times New Roman"/>
          <w:sz w:val="26"/>
        </w:rPr>
        <w:t>Bước 1:  Cơ sở nộp hồ sơ trực tiếp hoặc qua dịch vụ bưu chính hoặc trực tuyến về Sở Y tế nơi cơ sở đó đặt địa điểm kinh doanh. Bước 2:  Sau khi nhận hồ sơ, Sở Y tế trả cho cơ sở đề nghị Phiếu tiếp nhận hồ sơ theo Mẫu số 01 tại Phụ lục I ban hành kèm theo Nghị định số 163/2025/NĐ-CP. Bước 3:  3.1. Trường hợp không phải tổ chức đánh giá thực tế tại cơ sở Cấp Giấy chứng nhận đủ điều kiện kinh doanh dược trong thời hạn 30 ngày kể từ ngày ghi trên Phiếu tiếp nhận hồ sơ đối với trường hợp cơ sở vật chất, kỹ thuật</w:t>
      </w:r>
      <w:r>
        <w:rPr>
          <w:rFonts w:ascii="Times New Roman" w:eastAsia="Times New Roman" w:hAnsi="Times New Roman" w:cs="Times New Roman"/>
          <w:sz w:val="26"/>
        </w:rPr>
        <w:t xml:space="preserve"> và nhân sự đã được kiểm tra, đánh giá đáp ứng Thực hành tốt phù hợp với phạm vi kinh doanh, không phải tổ chức đánh giá thực tế tại cơ sở đề nghị cấp Giấy chứng nhận đủ điều kiện kinh doanh dược;  Khi có yêu cầu sửa đổi, bổ sung hồ sơ, trong thời hạn 07 ngày làm việc kể từ ngày ghi trên Phiếu tiếp nhận hồ sơ, Sở Y tế có văn bản gửi cơ sở đề nghị, trong đó phải nêu cụ thể các tài liệu, nội dung cần sửa đổi, bổ sung theo Mẫu số 16 tại Phụ lục I ban hành kèm theo Nghị định số 163/2025/NĐ-CP. Sau khi nhận hồ s</w:t>
      </w:r>
      <w:r>
        <w:rPr>
          <w:rFonts w:ascii="Times New Roman" w:eastAsia="Times New Roman" w:hAnsi="Times New Roman" w:cs="Times New Roman"/>
          <w:sz w:val="26"/>
        </w:rPr>
        <w:t>ơ sửa đổi, bổ sung, Sở Y tế trả cho cơ sở đề nghị Phiếu tiếp nhận hồ sơ sửa đổi, bổ sung theo Mẫu số 01 tại Phụ lục I ban hành kèm theo Nghị định số 163/2025/NĐ-CP. - Trường hợp hồ sơ sửa đổi, bổ sung không đáp ứng yêu cầu, trong thời hạn 10 ngày kể từ ngày ghi trên Phiếu tiếp nhận hồ sơ, Sở Y tế có văn bản thông báo cho cơ sở về việc không cấp Giấy chứng nhận đủ điều kiện kinh doanh dược theo Mẫu số 16 tại Phụ lục I ban hành kèm theo Nghị định số 163/2025/NĐ-CP. - Trường hợp không có yêu cầu sửa đổi, bổ su</w:t>
      </w:r>
      <w:r>
        <w:rPr>
          <w:rFonts w:ascii="Times New Roman" w:eastAsia="Times New Roman" w:hAnsi="Times New Roman" w:cs="Times New Roman"/>
          <w:sz w:val="26"/>
        </w:rPr>
        <w:t>ng đối với hồ sơ sửa đổi, bổ sung, Sở Y tế thực hiện cấp giấy chứng nhận đủ điều kiện kinh doanh dược trong thời hạn 30 ngày. 3.2. Trường hợp phải đánh giá thực tế tại cơ sở: Tổ chức đánh giá thực tế tại cơ sở đề nghị cấp Giấy chứng nhận đủ điều kiện kinh doanh dược trong thời hạn 20 ngày kể từ ngày ghi trên Phiếu tiếp nhận hồ sơ. Sau khi đánh giá thực tế cơ sở, Sở Y tế có trách nhiệm: - Cấp Giấy chứng nhận đủ điều kiện kinh doanh dược trong thời hạn 10 ngày kể từ ngày hoàn thành việc đánh giá thực tế đối v</w:t>
      </w:r>
      <w:r>
        <w:rPr>
          <w:rFonts w:ascii="Times New Roman" w:eastAsia="Times New Roman" w:hAnsi="Times New Roman" w:cs="Times New Roman"/>
          <w:sz w:val="26"/>
        </w:rPr>
        <w:t xml:space="preserve">ới trường hợp không có yêu cầu khắc phục, sửa chữa; - Ban hành văn bản thông báo việc cơ sở không được cấp Giấy chứng nhận đủ điều kiện kinh doanh dược đối với trường hợp cơ sở không đủ điều kiện theo quy </w:t>
      </w:r>
      <w:r>
        <w:rPr>
          <w:rFonts w:ascii="Times New Roman" w:eastAsia="Times New Roman" w:hAnsi="Times New Roman" w:cs="Times New Roman"/>
          <w:sz w:val="26"/>
        </w:rPr>
        <w:lastRenderedPageBreak/>
        <w:t>định hoặc văn bản thông báo các nội dung cần khắc phục, sửa chữa theo Mẫu số 16 tại Phụ lục I ban hành kèm theo Nghị định số 163/2025/NĐ-CP. Trong thời hạn 10 ngày kể từ ngày hoàn thành việc đánh giá thực tế đối với trường hợp có yêu cầu khắc phục, sửa chữa.  Trong thời hạn 20 ngày kể từ ngày nhận được báo</w:t>
      </w:r>
      <w:r>
        <w:rPr>
          <w:rFonts w:ascii="Times New Roman" w:eastAsia="Times New Roman" w:hAnsi="Times New Roman" w:cs="Times New Roman"/>
          <w:sz w:val="26"/>
        </w:rPr>
        <w:t xml:space="preserve"> cáo của cơ sở về việc đã hoàn thành việc khắc phục, sửa chữa kèm theo tài liệu chứng minh, Sở Y tế cấp Giấy chứng nhận đủ điều kiện kinh doanh dược hoặc có văn bản thông báo sửa đổi, bổ sung.         * Trong thời hạn 06 tháng kể từ ngày cơ quan tiếp nhận hồ sơ có văn bản thông báo sửa đổi, bổ sung hoặc văn bản thông báo các nội dung cần khắc phục, sửa chữa, cơ sở đề nghị phải nộp hồ sơ sửa đổi, bổ sung theo yêu cầu hoặc báo cáo về việc đã hoàn thành việc khắc phục, sửa chữa kèm theo tài liệu chứng minh. Sa</w:t>
      </w:r>
      <w:r>
        <w:rPr>
          <w:rFonts w:ascii="Times New Roman" w:eastAsia="Times New Roman" w:hAnsi="Times New Roman" w:cs="Times New Roman"/>
          <w:sz w:val="26"/>
        </w:rPr>
        <w:t>u thời hạn trên, cơ sở không nộp hồ sơ sửa đổi, bổ sung thì hồ sơ đã nộp không còn giá trị. Bước 4:  Trong thời hạn 03 ngày làm việc kể từ ngày cấp Giấy chứng nhận đủ điều kiện kinh doanh dược, Sở Y tế công bố, cập nhật trên Trang thông tin điện tử của Sở Y tế các thông tin sau: a) Tên, địa chỉ cơ sở được cấp Giấy chứng nhận đủ điều kiện kinh doanh dược; b) Họ tên người chịu trách nhiệm chuyên môn về dược, số Chứng chỉ hành nghề dược; c) Số Giấy chứng nhận đủ điều kiện kinh doanh dược; d) Phạm vi kinh doanh</w:t>
      </w:r>
      <w:r>
        <w:rPr>
          <w:rFonts w:ascii="Times New Roman" w:eastAsia="Times New Roman" w:hAnsi="Times New Roman" w:cs="Times New Roman"/>
          <w:sz w:val="26"/>
        </w:rPr>
        <w:t xml:space="preserve"> dược. Bước 5: Khi nhận Giấy chứng nhận đủ điều kiện kinh doanh dược được cấp trong các trường hợp cấp Giấy chứng nhận đủ điều kiện kinh doanh dược theo quy định tại điểm b khoản 1 Điều 36 của Luật Dược, cơ sở phải nộp lại Giấy chứng nhận đủ điều kiện kinh doanh dược đã được cấp trước đó, trừ trường hợp bị mất Giấy chứng nhận đủ điều kiện kinh doanh dược hoặc Giấy chứng nhận đủ điều kiện kinh doanh dược được cấp theo hình thức trực tuyến.  Trường hợp cơ sở đã được đánh giá đáp ứng Thực hành tốt, cơ quan tiế</w:t>
      </w:r>
      <w:r>
        <w:rPr>
          <w:rFonts w:ascii="Times New Roman" w:eastAsia="Times New Roman" w:hAnsi="Times New Roman" w:cs="Times New Roman"/>
          <w:sz w:val="26"/>
        </w:rPr>
        <w:t>p nhận hồ sơ cấp giấy chứng nhận Thực hành tốt nếu cơ sở đề nghị cấp giấy chứng nhận Thực hành tốt.</w:t>
      </w:r>
    </w:p>
    <w:p w14:paraId="5CE39942" w14:textId="77777777" w:rsidR="00D0479F" w:rsidRDefault="00D7729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1"/>
        <w:gridCol w:w="885"/>
        <w:gridCol w:w="6823"/>
        <w:gridCol w:w="862"/>
      </w:tblGrid>
      <w:tr w:rsidR="00D0479F" w14:paraId="31B61E33" w14:textId="77777777">
        <w:tblPrEx>
          <w:tblCellMar>
            <w:top w:w="0" w:type="dxa"/>
            <w:bottom w:w="0" w:type="dxa"/>
          </w:tblCellMar>
        </w:tblPrEx>
        <w:tc>
          <w:tcPr>
            <w:tcW w:w="1500" w:type="dxa"/>
          </w:tcPr>
          <w:p w14:paraId="227B4E06" w14:textId="77777777" w:rsidR="00D0479F" w:rsidRDefault="00D0479F"/>
          <w:p w14:paraId="6F6D0CE0" w14:textId="77777777" w:rsidR="00D0479F" w:rsidRDefault="00D77290">
            <w:pPr>
              <w:spacing w:after="0" w:line="276" w:lineRule="auto"/>
              <w:jc w:val="center"/>
            </w:pPr>
            <w:r>
              <w:rPr>
                <w:rFonts w:ascii="Times New Roman" w:eastAsia="Times New Roman" w:hAnsi="Times New Roman" w:cs="Times New Roman"/>
                <w:b/>
                <w:sz w:val="26"/>
              </w:rPr>
              <w:t>Hình thức nộp</w:t>
            </w:r>
          </w:p>
        </w:tc>
        <w:tc>
          <w:tcPr>
            <w:tcW w:w="2000" w:type="dxa"/>
          </w:tcPr>
          <w:p w14:paraId="4593DF44" w14:textId="77777777" w:rsidR="00D0479F" w:rsidRDefault="00D0479F"/>
          <w:p w14:paraId="54E91123" w14:textId="77777777" w:rsidR="00D0479F" w:rsidRDefault="00D7729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C4358F7" w14:textId="77777777" w:rsidR="00D0479F" w:rsidRDefault="00D0479F"/>
          <w:p w14:paraId="0EB8A8C4" w14:textId="77777777" w:rsidR="00D0479F" w:rsidRDefault="00D77290">
            <w:pPr>
              <w:spacing w:after="0" w:line="276" w:lineRule="auto"/>
              <w:jc w:val="center"/>
            </w:pPr>
            <w:r>
              <w:rPr>
                <w:rFonts w:ascii="Times New Roman" w:eastAsia="Times New Roman" w:hAnsi="Times New Roman" w:cs="Times New Roman"/>
                <w:b/>
                <w:sz w:val="26"/>
              </w:rPr>
              <w:t>Phí, lệ phí</w:t>
            </w:r>
          </w:p>
        </w:tc>
        <w:tc>
          <w:tcPr>
            <w:tcW w:w="3000" w:type="dxa"/>
          </w:tcPr>
          <w:p w14:paraId="5D2F210C" w14:textId="77777777" w:rsidR="00D0479F" w:rsidRDefault="00D0479F"/>
          <w:p w14:paraId="7413ABE3" w14:textId="77777777" w:rsidR="00D0479F" w:rsidRDefault="00D77290">
            <w:pPr>
              <w:spacing w:after="0" w:line="276" w:lineRule="auto"/>
              <w:jc w:val="center"/>
            </w:pPr>
            <w:r>
              <w:rPr>
                <w:rFonts w:ascii="Times New Roman" w:eastAsia="Times New Roman" w:hAnsi="Times New Roman" w:cs="Times New Roman"/>
                <w:b/>
                <w:sz w:val="26"/>
              </w:rPr>
              <w:t>Mô tả</w:t>
            </w:r>
          </w:p>
        </w:tc>
      </w:tr>
      <w:tr w:rsidR="00D0479F" w14:paraId="0D0AB777" w14:textId="77777777">
        <w:tblPrEx>
          <w:tblCellMar>
            <w:top w:w="0" w:type="dxa"/>
            <w:bottom w:w="0" w:type="dxa"/>
          </w:tblCellMar>
        </w:tblPrEx>
        <w:tc>
          <w:tcPr>
            <w:tcW w:w="0" w:type="auto"/>
          </w:tcPr>
          <w:p w14:paraId="32B15262" w14:textId="77777777" w:rsidR="00D0479F" w:rsidRDefault="00D0479F"/>
          <w:p w14:paraId="57B25ADB" w14:textId="77777777" w:rsidR="00D0479F" w:rsidRDefault="00D77290">
            <w:pPr>
              <w:spacing w:after="0" w:line="276" w:lineRule="auto"/>
            </w:pPr>
            <w:r>
              <w:rPr>
                <w:rFonts w:ascii="Times New Roman" w:eastAsia="Times New Roman" w:hAnsi="Times New Roman" w:cs="Times New Roman"/>
                <w:sz w:val="26"/>
              </w:rPr>
              <w:t>Trực tiếp</w:t>
            </w:r>
          </w:p>
        </w:tc>
        <w:tc>
          <w:tcPr>
            <w:tcW w:w="0" w:type="auto"/>
          </w:tcPr>
          <w:p w14:paraId="70547AEB" w14:textId="77777777" w:rsidR="00D0479F" w:rsidRDefault="00D0479F"/>
          <w:p w14:paraId="73FC70C5" w14:textId="77777777" w:rsidR="00D0479F" w:rsidRDefault="00D77290">
            <w:pPr>
              <w:spacing w:after="0" w:line="276" w:lineRule="auto"/>
            </w:pPr>
            <w:r>
              <w:rPr>
                <w:rFonts w:ascii="Times New Roman" w:eastAsia="Times New Roman" w:hAnsi="Times New Roman" w:cs="Times New Roman"/>
                <w:sz w:val="26"/>
              </w:rPr>
              <w:t>30 Ngày</w:t>
            </w:r>
          </w:p>
        </w:tc>
        <w:tc>
          <w:tcPr>
            <w:tcW w:w="0" w:type="auto"/>
          </w:tcPr>
          <w:p w14:paraId="367F28E2" w14:textId="77777777" w:rsidR="00D0479F" w:rsidRDefault="00D0479F"/>
          <w:p w14:paraId="47502E8F" w14:textId="77777777" w:rsidR="00D0479F" w:rsidRDefault="00D77290">
            <w:pPr>
              <w:spacing w:after="0" w:line="276" w:lineRule="auto"/>
            </w:pPr>
            <w:r>
              <w:rPr>
                <w:rFonts w:ascii="Times New Roman" w:eastAsia="Times New Roman" w:hAnsi="Times New Roman" w:cs="Times New Roman"/>
                <w:sz w:val="26"/>
              </w:rPr>
              <w:t xml:space="preserve">Phí :  </w:t>
            </w:r>
            <w:r>
              <w:rPr>
                <w:rFonts w:ascii="Times New Roman" w:eastAsia="Times New Roman" w:hAnsi="Times New Roman" w:cs="Times New Roman"/>
                <w:sz w:val="26"/>
              </w:rPr>
              <w:t xml:space="preserve"> (1. Thẩm định điều kiện và đánh giá đáp ứng thực hành tốt phân phối thuốc đối với cơ sở bán buôn (GDP): 4.000.000 đồng 2.Thẩm định điều kiện và đánh giá đáp ứng thực hành tốt cơ sở bán lẻ thuốc (GPP): a) Đối với cơ sở tại các địa bàn có điều kiện kinh tế - xã hội khó khăn và đặc biệt khó khăn theo quy định tại Nghị định số 31/2021/NĐ-CP ngày 26 tháng 3 năm 2021 của Chính phủ quy định chi tiết và hướng dẫn thi hành một số điều </w:t>
            </w:r>
            <w:r>
              <w:rPr>
                <w:rFonts w:ascii="Times New Roman" w:eastAsia="Times New Roman" w:hAnsi="Times New Roman" w:cs="Times New Roman"/>
                <w:sz w:val="26"/>
              </w:rPr>
              <w:lastRenderedPageBreak/>
              <w:t>của Luật Đầu tư: 500.000 đồng b) Đối với các cơ sở tại các địa bàn còn lại: 1.000</w:t>
            </w:r>
            <w:r>
              <w:rPr>
                <w:rFonts w:ascii="Times New Roman" w:eastAsia="Times New Roman" w:hAnsi="Times New Roman" w:cs="Times New Roman"/>
                <w:sz w:val="26"/>
              </w:rPr>
              <w:t>.000 đồng 3. Thẩm định điều kiện của cơ sở chuyên bán lẻ dược liệu, thuốc dược liệu, thuốc cổ truyền (gồm cả vị thuốc cổ truyền) a) Đối với cơ sở tại các địa bàn có điều kiện kinh tế - xã hội khó khăn và đặc biệt khó khăn theo quy định tại Nghị định số 31/2021/NĐ-CP: 300.000 đồng b) Đối với cơ sở tại các địa bàn còn lại: 750.000 đồng)</w:t>
            </w:r>
          </w:p>
        </w:tc>
        <w:tc>
          <w:tcPr>
            <w:tcW w:w="0" w:type="auto"/>
          </w:tcPr>
          <w:p w14:paraId="6A16F039" w14:textId="77777777" w:rsidR="00D0479F" w:rsidRDefault="00D0479F"/>
        </w:tc>
      </w:tr>
      <w:tr w:rsidR="00D0479F" w14:paraId="4934E12A" w14:textId="77777777">
        <w:tblPrEx>
          <w:tblCellMar>
            <w:top w:w="0" w:type="dxa"/>
            <w:bottom w:w="0" w:type="dxa"/>
          </w:tblCellMar>
        </w:tblPrEx>
        <w:tc>
          <w:tcPr>
            <w:tcW w:w="0" w:type="auto"/>
          </w:tcPr>
          <w:p w14:paraId="6F2D1443" w14:textId="77777777" w:rsidR="00D0479F" w:rsidRDefault="00D0479F"/>
          <w:p w14:paraId="2F6F4BD9" w14:textId="77777777" w:rsidR="00D0479F" w:rsidRDefault="00D77290">
            <w:pPr>
              <w:spacing w:after="0" w:line="276" w:lineRule="auto"/>
            </w:pPr>
            <w:r>
              <w:rPr>
                <w:rFonts w:ascii="Times New Roman" w:eastAsia="Times New Roman" w:hAnsi="Times New Roman" w:cs="Times New Roman"/>
                <w:sz w:val="26"/>
              </w:rPr>
              <w:t>Trực tuyến</w:t>
            </w:r>
          </w:p>
        </w:tc>
        <w:tc>
          <w:tcPr>
            <w:tcW w:w="0" w:type="auto"/>
          </w:tcPr>
          <w:p w14:paraId="5BBD80E6" w14:textId="77777777" w:rsidR="00D0479F" w:rsidRDefault="00D0479F"/>
          <w:p w14:paraId="1006D2D2" w14:textId="77777777" w:rsidR="00D0479F" w:rsidRDefault="00D77290">
            <w:pPr>
              <w:spacing w:after="0" w:line="276" w:lineRule="auto"/>
            </w:pPr>
            <w:r>
              <w:rPr>
                <w:rFonts w:ascii="Times New Roman" w:eastAsia="Times New Roman" w:hAnsi="Times New Roman" w:cs="Times New Roman"/>
                <w:sz w:val="26"/>
              </w:rPr>
              <w:t>30 Ngày</w:t>
            </w:r>
          </w:p>
        </w:tc>
        <w:tc>
          <w:tcPr>
            <w:tcW w:w="0" w:type="auto"/>
          </w:tcPr>
          <w:p w14:paraId="70D27EE7" w14:textId="77777777" w:rsidR="00D0479F" w:rsidRDefault="00D0479F"/>
          <w:p w14:paraId="565B6219" w14:textId="77777777" w:rsidR="00D0479F" w:rsidRDefault="00D77290">
            <w:pPr>
              <w:spacing w:after="0" w:line="276" w:lineRule="auto"/>
            </w:pPr>
            <w:r>
              <w:rPr>
                <w:rFonts w:ascii="Times New Roman" w:eastAsia="Times New Roman" w:hAnsi="Times New Roman" w:cs="Times New Roman"/>
                <w:sz w:val="26"/>
              </w:rPr>
              <w:t xml:space="preserve">Phí :  </w:t>
            </w:r>
            <w:r>
              <w:rPr>
                <w:rFonts w:ascii="Times New Roman" w:eastAsia="Times New Roman" w:hAnsi="Times New Roman" w:cs="Times New Roman"/>
                <w:sz w:val="26"/>
              </w:rPr>
              <w:t xml:space="preserve"> (1. Thẩm định điều kiện và đánh giá đáp ứng thực hành tốt phân phối thuốc đối với cơ sở bán buôn (GDP): 4.000.000 đồng 2.Thẩm định điều kiện và đánh giá đáp ứng thực hành tốt cơ sở bán lẻ thuốc (GPP): a) Đối với cơ sở tại các địa bàn có điều kiện kinh tế - xã hội khó khăn và đặc biệt khó khăn theo quy định tại Nghị định số 31/2021/NĐ-CP ngày 26 tháng 3 năm 2021 của Chính phủ quy định chi tiết và hướng dẫn thi hành một số điều của Luật Đầu tư: 500.000 đồng b) Đối với các cơ sở tại các địa bàn còn lại: 1.000</w:t>
            </w:r>
            <w:r>
              <w:rPr>
                <w:rFonts w:ascii="Times New Roman" w:eastAsia="Times New Roman" w:hAnsi="Times New Roman" w:cs="Times New Roman"/>
                <w:sz w:val="26"/>
              </w:rPr>
              <w:t>.000 đồng 3. Thẩm định điều kiện của cơ sở chuyên bán lẻ dược liệu, thuốc dược liệu, thuốc cổ truyền (gồm cả vị thuốc cổ truyền) a) Đối với cơ sở tại các địa bàn có điều kiện kinh tế - xã hội khó khăn và đặc biệt khó khăn theo quy định tại Nghị định số 31/2021/NĐ-CP: 300.000 đồng b) Đối với cơ sở tại các địa bàn còn lại: 750.000 đồng)</w:t>
            </w:r>
          </w:p>
        </w:tc>
        <w:tc>
          <w:tcPr>
            <w:tcW w:w="0" w:type="auto"/>
          </w:tcPr>
          <w:p w14:paraId="0ACF2E6E" w14:textId="77777777" w:rsidR="00D0479F" w:rsidRDefault="00D0479F"/>
        </w:tc>
      </w:tr>
      <w:tr w:rsidR="00D0479F" w14:paraId="01266564" w14:textId="77777777">
        <w:tblPrEx>
          <w:tblCellMar>
            <w:top w:w="0" w:type="dxa"/>
            <w:bottom w:w="0" w:type="dxa"/>
          </w:tblCellMar>
        </w:tblPrEx>
        <w:tc>
          <w:tcPr>
            <w:tcW w:w="0" w:type="auto"/>
          </w:tcPr>
          <w:p w14:paraId="0CAEF2BC" w14:textId="77777777" w:rsidR="00D0479F" w:rsidRDefault="00D0479F"/>
          <w:p w14:paraId="2EA2CE0B" w14:textId="77777777" w:rsidR="00D0479F" w:rsidRDefault="00D77290">
            <w:pPr>
              <w:spacing w:after="0" w:line="276" w:lineRule="auto"/>
            </w:pPr>
            <w:r>
              <w:rPr>
                <w:rFonts w:ascii="Times New Roman" w:eastAsia="Times New Roman" w:hAnsi="Times New Roman" w:cs="Times New Roman"/>
                <w:sz w:val="26"/>
              </w:rPr>
              <w:t>Dịch vụ bưu chính</w:t>
            </w:r>
          </w:p>
        </w:tc>
        <w:tc>
          <w:tcPr>
            <w:tcW w:w="0" w:type="auto"/>
          </w:tcPr>
          <w:p w14:paraId="36C75B3B" w14:textId="77777777" w:rsidR="00D0479F" w:rsidRDefault="00D0479F"/>
          <w:p w14:paraId="1903BB1B" w14:textId="77777777" w:rsidR="00D0479F" w:rsidRDefault="00D77290">
            <w:pPr>
              <w:spacing w:after="0" w:line="276" w:lineRule="auto"/>
            </w:pPr>
            <w:r>
              <w:rPr>
                <w:rFonts w:ascii="Times New Roman" w:eastAsia="Times New Roman" w:hAnsi="Times New Roman" w:cs="Times New Roman"/>
                <w:sz w:val="26"/>
              </w:rPr>
              <w:t>30 Ngày</w:t>
            </w:r>
          </w:p>
        </w:tc>
        <w:tc>
          <w:tcPr>
            <w:tcW w:w="0" w:type="auto"/>
          </w:tcPr>
          <w:p w14:paraId="3F2DB806" w14:textId="77777777" w:rsidR="00D0479F" w:rsidRDefault="00D0479F"/>
          <w:p w14:paraId="57F9A761" w14:textId="77777777" w:rsidR="00D0479F" w:rsidRDefault="00D77290">
            <w:pPr>
              <w:spacing w:after="0" w:line="276" w:lineRule="auto"/>
            </w:pPr>
            <w:r>
              <w:rPr>
                <w:rFonts w:ascii="Times New Roman" w:eastAsia="Times New Roman" w:hAnsi="Times New Roman" w:cs="Times New Roman"/>
                <w:sz w:val="26"/>
              </w:rPr>
              <w:t>Phí :   (1. Thẩm định điều kiện và đánh giá đáp ứng thực hành tốt phân phối thuốc đối với cơ sở bán buôn (GDP): 4.000.000 đồng 2.Thẩm định điều kiện và đánh giá đáp ứng thực hành tốt cơ sở bán lẻ thuốc (GPP): a) Đối với cơ sở tại các địa bàn có điều kiện kinh tế - xã hội khó khăn và đặc biệt khó khăn theo quy định tại Nghị định số 31/2021/NĐ-CP ngày 26 tháng 3 năm 2021 của Chính phủ quy định chi tiết và hướng dẫn thi hành một số điều của Luật Đầu tư: 500.000 đồng b) Đối với các cơ sở tại các địa bàn còn lại</w:t>
            </w:r>
            <w:r>
              <w:rPr>
                <w:rFonts w:ascii="Times New Roman" w:eastAsia="Times New Roman" w:hAnsi="Times New Roman" w:cs="Times New Roman"/>
                <w:sz w:val="26"/>
              </w:rPr>
              <w:t>: 1.000.000 đồng 3. Thẩm định điều kiện của cơ sở chuyên bán lẻ dược liệu, thuốc dược liệu, thuốc cổ truyền (gồm cả vị thuốc cổ truyền) a) Đối với cơ sở tại các địa bàn có điều kiện kinh tế - xã hội khó khăn và đặc biệt khó khăn theo quy định tại Nghị định số 31/2021/NĐ-CP: 300.000 đồng b) Đối với cơ sở tại các địa bàn còn lại: 750.000 đồng)</w:t>
            </w:r>
          </w:p>
        </w:tc>
        <w:tc>
          <w:tcPr>
            <w:tcW w:w="0" w:type="auto"/>
          </w:tcPr>
          <w:p w14:paraId="1F970EFB" w14:textId="77777777" w:rsidR="00D0479F" w:rsidRDefault="00D0479F"/>
        </w:tc>
      </w:tr>
    </w:tbl>
    <w:p w14:paraId="390C5544" w14:textId="77777777" w:rsidR="00D0479F" w:rsidRDefault="00D77290">
      <w:pPr>
        <w:spacing w:before="240" w:after="0" w:line="276" w:lineRule="auto"/>
        <w:jc w:val="both"/>
      </w:pPr>
      <w:r>
        <w:rPr>
          <w:rFonts w:ascii="Times New Roman" w:eastAsia="Times New Roman" w:hAnsi="Times New Roman" w:cs="Times New Roman"/>
          <w:b/>
          <w:sz w:val="26"/>
        </w:rPr>
        <w:t xml:space="preserve">Thành phần hồ sơ: </w:t>
      </w:r>
    </w:p>
    <w:p w14:paraId="292FE46D" w14:textId="77777777" w:rsidR="00D0479F" w:rsidRDefault="00D7729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72"/>
        <w:gridCol w:w="1439"/>
        <w:gridCol w:w="914"/>
      </w:tblGrid>
      <w:tr w:rsidR="00D0479F" w14:paraId="41A410BF" w14:textId="77777777">
        <w:tblPrEx>
          <w:tblCellMar>
            <w:top w:w="0" w:type="dxa"/>
            <w:bottom w:w="0" w:type="dxa"/>
          </w:tblCellMar>
        </w:tblPrEx>
        <w:tc>
          <w:tcPr>
            <w:tcW w:w="6000" w:type="dxa"/>
          </w:tcPr>
          <w:p w14:paraId="2D5AFCEB" w14:textId="77777777" w:rsidR="00D0479F" w:rsidRDefault="00D0479F"/>
          <w:p w14:paraId="16A59C9D" w14:textId="77777777" w:rsidR="00D0479F" w:rsidRDefault="00D77290">
            <w:pPr>
              <w:spacing w:after="0" w:line="276" w:lineRule="auto"/>
              <w:jc w:val="center"/>
            </w:pPr>
            <w:r>
              <w:rPr>
                <w:rFonts w:ascii="Times New Roman" w:eastAsia="Times New Roman" w:hAnsi="Times New Roman" w:cs="Times New Roman"/>
                <w:b/>
                <w:sz w:val="26"/>
              </w:rPr>
              <w:t>Tên giấy tờ</w:t>
            </w:r>
          </w:p>
        </w:tc>
        <w:tc>
          <w:tcPr>
            <w:tcW w:w="2000" w:type="dxa"/>
          </w:tcPr>
          <w:p w14:paraId="6A75F352" w14:textId="77777777" w:rsidR="00D0479F" w:rsidRDefault="00D0479F"/>
          <w:p w14:paraId="4A048B26" w14:textId="77777777" w:rsidR="00D0479F" w:rsidRDefault="00D77290">
            <w:pPr>
              <w:spacing w:after="0" w:line="276" w:lineRule="auto"/>
              <w:jc w:val="center"/>
            </w:pPr>
            <w:r>
              <w:rPr>
                <w:rFonts w:ascii="Times New Roman" w:eastAsia="Times New Roman" w:hAnsi="Times New Roman" w:cs="Times New Roman"/>
                <w:b/>
                <w:sz w:val="26"/>
              </w:rPr>
              <w:t>Mẫu đơn, tờ khai</w:t>
            </w:r>
          </w:p>
        </w:tc>
        <w:tc>
          <w:tcPr>
            <w:tcW w:w="2000" w:type="dxa"/>
          </w:tcPr>
          <w:p w14:paraId="2B5AFC09" w14:textId="77777777" w:rsidR="00D0479F" w:rsidRDefault="00D0479F"/>
          <w:p w14:paraId="5C83A6D5" w14:textId="77777777" w:rsidR="00D0479F" w:rsidRDefault="00D77290">
            <w:pPr>
              <w:spacing w:after="0" w:line="276" w:lineRule="auto"/>
              <w:jc w:val="center"/>
            </w:pPr>
            <w:r>
              <w:rPr>
                <w:rFonts w:ascii="Times New Roman" w:eastAsia="Times New Roman" w:hAnsi="Times New Roman" w:cs="Times New Roman"/>
                <w:b/>
                <w:sz w:val="26"/>
              </w:rPr>
              <w:t>Số lượng</w:t>
            </w:r>
          </w:p>
        </w:tc>
      </w:tr>
      <w:tr w:rsidR="00D0479F" w14:paraId="454EBE8A" w14:textId="77777777">
        <w:tblPrEx>
          <w:tblCellMar>
            <w:top w:w="0" w:type="dxa"/>
            <w:bottom w:w="0" w:type="dxa"/>
          </w:tblCellMar>
        </w:tblPrEx>
        <w:tc>
          <w:tcPr>
            <w:tcW w:w="0" w:type="auto"/>
          </w:tcPr>
          <w:p w14:paraId="4E234148" w14:textId="77777777" w:rsidR="00D0479F" w:rsidRDefault="00D0479F"/>
          <w:p w14:paraId="398C5574" w14:textId="77777777" w:rsidR="00D0479F" w:rsidRDefault="00D77290">
            <w:pPr>
              <w:spacing w:after="0" w:line="276" w:lineRule="auto"/>
            </w:pPr>
            <w:r>
              <w:rPr>
                <w:rFonts w:ascii="Times New Roman" w:eastAsia="Times New Roman" w:hAnsi="Times New Roman" w:cs="Times New Roman"/>
                <w:sz w:val="26"/>
              </w:rPr>
              <w:t>Đơn đề nghị cấp Giấy  chứng nhận đủ điều kiện kinh doanh dược</w:t>
            </w:r>
          </w:p>
        </w:tc>
        <w:tc>
          <w:tcPr>
            <w:tcW w:w="0" w:type="auto"/>
          </w:tcPr>
          <w:p w14:paraId="57B70500" w14:textId="77777777" w:rsidR="00D0479F" w:rsidRDefault="00D0479F"/>
          <w:p w14:paraId="2347C43E" w14:textId="77777777" w:rsidR="00D0479F" w:rsidRDefault="00D77290">
            <w:pPr>
              <w:spacing w:after="0" w:line="276" w:lineRule="auto"/>
            </w:pPr>
            <w:r>
              <w:rPr>
                <w:rFonts w:ascii="Times New Roman" w:eastAsia="Times New Roman" w:hAnsi="Times New Roman" w:cs="Times New Roman"/>
                <w:sz w:val="26"/>
              </w:rPr>
              <w:t>Mus10.docx</w:t>
            </w:r>
          </w:p>
        </w:tc>
        <w:tc>
          <w:tcPr>
            <w:tcW w:w="0" w:type="auto"/>
          </w:tcPr>
          <w:p w14:paraId="13403FF0" w14:textId="77777777" w:rsidR="00D0479F" w:rsidRDefault="00D0479F"/>
          <w:p w14:paraId="22E1A39F" w14:textId="77777777" w:rsidR="00D0479F" w:rsidRDefault="00D772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0479F" w14:paraId="4C657D06" w14:textId="77777777">
        <w:tblPrEx>
          <w:tblCellMar>
            <w:top w:w="0" w:type="dxa"/>
            <w:bottom w:w="0" w:type="dxa"/>
          </w:tblCellMar>
        </w:tblPrEx>
        <w:tc>
          <w:tcPr>
            <w:tcW w:w="0" w:type="auto"/>
          </w:tcPr>
          <w:p w14:paraId="78F07B50" w14:textId="77777777" w:rsidR="00D0479F" w:rsidRDefault="00D0479F"/>
          <w:p w14:paraId="3CB79B55" w14:textId="77777777" w:rsidR="00D0479F" w:rsidRDefault="00D77290">
            <w:pPr>
              <w:spacing w:after="0" w:line="276" w:lineRule="auto"/>
            </w:pPr>
            <w:r>
              <w:rPr>
                <w:rFonts w:ascii="Times New Roman" w:eastAsia="Times New Roman" w:hAnsi="Times New Roman" w:cs="Times New Roman"/>
                <w:sz w:val="26"/>
              </w:rPr>
              <w:t>Tài liệu kỹ thuật quy định tại  điểm b khoản 1 Điều 38 của Luật Dược bao gồm các tài liệu sau: - Đối với cơ sở bán buôn thuốc, nguyên liệu làm thuốc: Tài liệu về cơ sở vật chất, tài liệu chuyên môn kỹ thuật và nhân sự theo nguyên tắc Thực hành tốt phân phối thuốc, nguyên liệu làm thuốc; - Đối với cơ sở bán lẻ thuốc: Tài liệu về cơ sở vật chất, tài liệu chuyên môn kỹ thuật và nhân sự theo nguyên tắc Thực hành tốt cơ sở bán lẻ thuốc. Đối với cơ sở chuyên bán lẻ dược liệu, thuốc dược liệu, thuốc cổ truyền: Tài</w:t>
            </w:r>
            <w:r>
              <w:rPr>
                <w:rFonts w:ascii="Times New Roman" w:eastAsia="Times New Roman" w:hAnsi="Times New Roman" w:cs="Times New Roman"/>
                <w:sz w:val="26"/>
              </w:rPr>
              <w:t xml:space="preserve"> liệu chứng minh việc đáp ứng quy định tại khoản 5 Điều 19 của Nghị định số 163/2025/NĐ-CP.</w:t>
            </w:r>
          </w:p>
        </w:tc>
        <w:tc>
          <w:tcPr>
            <w:tcW w:w="0" w:type="auto"/>
          </w:tcPr>
          <w:p w14:paraId="6ACEDBAD" w14:textId="77777777" w:rsidR="00D0479F" w:rsidRDefault="00D0479F"/>
        </w:tc>
        <w:tc>
          <w:tcPr>
            <w:tcW w:w="0" w:type="auto"/>
          </w:tcPr>
          <w:p w14:paraId="1CCE66D9" w14:textId="77777777" w:rsidR="00D0479F" w:rsidRDefault="00D0479F"/>
          <w:p w14:paraId="354C54FF" w14:textId="77777777" w:rsidR="00D0479F" w:rsidRDefault="00D772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0479F" w14:paraId="0964B7E5" w14:textId="77777777">
        <w:tblPrEx>
          <w:tblCellMar>
            <w:top w:w="0" w:type="dxa"/>
            <w:bottom w:w="0" w:type="dxa"/>
          </w:tblCellMar>
        </w:tblPrEx>
        <w:tc>
          <w:tcPr>
            <w:tcW w:w="0" w:type="auto"/>
          </w:tcPr>
          <w:p w14:paraId="6C7A2678" w14:textId="77777777" w:rsidR="00D0479F" w:rsidRDefault="00D0479F"/>
          <w:p w14:paraId="2522BAE3" w14:textId="77777777" w:rsidR="00D0479F" w:rsidRDefault="00D77290">
            <w:pPr>
              <w:spacing w:after="0" w:line="276" w:lineRule="auto"/>
            </w:pPr>
            <w:r>
              <w:rPr>
                <w:rFonts w:ascii="Times New Roman" w:eastAsia="Times New Roman" w:hAnsi="Times New Roman" w:cs="Times New Roman"/>
                <w:sz w:val="26"/>
              </w:rPr>
              <w:t>Giấy chứng nhận đăng ký doanh  nghiệp hoặc tài liệu pháp lý chứng minh việc thành lập cơ sở</w:t>
            </w:r>
          </w:p>
        </w:tc>
        <w:tc>
          <w:tcPr>
            <w:tcW w:w="0" w:type="auto"/>
          </w:tcPr>
          <w:p w14:paraId="40686284" w14:textId="77777777" w:rsidR="00D0479F" w:rsidRDefault="00D0479F"/>
        </w:tc>
        <w:tc>
          <w:tcPr>
            <w:tcW w:w="0" w:type="auto"/>
          </w:tcPr>
          <w:p w14:paraId="7F9849CD" w14:textId="77777777" w:rsidR="00D0479F" w:rsidRDefault="00D0479F"/>
          <w:p w14:paraId="1054343D" w14:textId="77777777" w:rsidR="00D0479F" w:rsidRDefault="00D772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0479F" w14:paraId="480B93A5" w14:textId="77777777">
        <w:tblPrEx>
          <w:tblCellMar>
            <w:top w:w="0" w:type="dxa"/>
            <w:bottom w:w="0" w:type="dxa"/>
          </w:tblCellMar>
        </w:tblPrEx>
        <w:tc>
          <w:tcPr>
            <w:tcW w:w="0" w:type="auto"/>
          </w:tcPr>
          <w:p w14:paraId="77EF745A" w14:textId="77777777" w:rsidR="00D0479F" w:rsidRDefault="00D0479F"/>
          <w:p w14:paraId="384F8852" w14:textId="77777777" w:rsidR="00D0479F" w:rsidRDefault="00D77290">
            <w:pPr>
              <w:spacing w:after="0" w:line="276" w:lineRule="auto"/>
            </w:pPr>
            <w:r>
              <w:rPr>
                <w:rFonts w:ascii="Times New Roman" w:eastAsia="Times New Roman" w:hAnsi="Times New Roman" w:cs="Times New Roman"/>
                <w:sz w:val="26"/>
              </w:rPr>
              <w:t>Chứng chỉ hành nghề  dược</w:t>
            </w:r>
          </w:p>
        </w:tc>
        <w:tc>
          <w:tcPr>
            <w:tcW w:w="0" w:type="auto"/>
          </w:tcPr>
          <w:p w14:paraId="5E2D93B8" w14:textId="77777777" w:rsidR="00D0479F" w:rsidRDefault="00D0479F"/>
        </w:tc>
        <w:tc>
          <w:tcPr>
            <w:tcW w:w="0" w:type="auto"/>
          </w:tcPr>
          <w:p w14:paraId="1588E332" w14:textId="77777777" w:rsidR="00D0479F" w:rsidRDefault="00D0479F"/>
          <w:p w14:paraId="3F80B77A" w14:textId="77777777" w:rsidR="00D0479F" w:rsidRDefault="00D772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0479F" w14:paraId="4E5E9E46" w14:textId="77777777">
        <w:tblPrEx>
          <w:tblCellMar>
            <w:top w:w="0" w:type="dxa"/>
            <w:bottom w:w="0" w:type="dxa"/>
          </w:tblCellMar>
        </w:tblPrEx>
        <w:tc>
          <w:tcPr>
            <w:tcW w:w="0" w:type="auto"/>
          </w:tcPr>
          <w:p w14:paraId="7F2BEFFD" w14:textId="77777777" w:rsidR="00D0479F" w:rsidRDefault="00D0479F"/>
          <w:p w14:paraId="53A2AEF3" w14:textId="77777777" w:rsidR="00D0479F" w:rsidRDefault="00D77290">
            <w:pPr>
              <w:spacing w:after="0" w:line="276" w:lineRule="auto"/>
            </w:pPr>
            <w:r>
              <w:rPr>
                <w:rFonts w:ascii="Times New Roman" w:eastAsia="Times New Roman" w:hAnsi="Times New Roman" w:cs="Times New Roman"/>
                <w:sz w:val="26"/>
              </w:rPr>
              <w:t>Tài liệu thuyết minh cơ  sở đáp ứng các biện pháp bảo đảm an ninh, không thất thoát thuốc phải kiểm soát đặc biệt theo Mẫu số 11 tại Phụ lục II ban hành kèm theo Nghị định số 163/2025/NĐ-CP. (Chỉ áp dụng đối với trường hợp cơ sở có đề nghị cho phép kinh doanh thuốc phải kiểm soát đặc biệt)</w:t>
            </w:r>
          </w:p>
        </w:tc>
        <w:tc>
          <w:tcPr>
            <w:tcW w:w="0" w:type="auto"/>
          </w:tcPr>
          <w:p w14:paraId="231E8BCD" w14:textId="77777777" w:rsidR="00D0479F" w:rsidRDefault="00D0479F"/>
          <w:p w14:paraId="65E6040C" w14:textId="77777777" w:rsidR="00D0479F" w:rsidRDefault="00D77290">
            <w:pPr>
              <w:spacing w:after="0" w:line="276" w:lineRule="auto"/>
            </w:pPr>
            <w:r>
              <w:rPr>
                <w:rFonts w:ascii="Times New Roman" w:eastAsia="Times New Roman" w:hAnsi="Times New Roman" w:cs="Times New Roman"/>
                <w:sz w:val="26"/>
              </w:rPr>
              <w:t>Mus11.docx</w:t>
            </w:r>
          </w:p>
        </w:tc>
        <w:tc>
          <w:tcPr>
            <w:tcW w:w="0" w:type="auto"/>
          </w:tcPr>
          <w:p w14:paraId="443632A0" w14:textId="77777777" w:rsidR="00D0479F" w:rsidRDefault="00D0479F"/>
          <w:p w14:paraId="6E40FE09" w14:textId="77777777" w:rsidR="00D0479F" w:rsidRDefault="00D772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EEAB8C6" w14:textId="77777777" w:rsidR="00D0479F" w:rsidRDefault="00D7729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2DBF5980" w14:textId="77777777" w:rsidR="00D0479F" w:rsidRDefault="00D7729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20D9479D" w14:textId="77777777" w:rsidR="00D0479F" w:rsidRDefault="00D7729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A9D09C8" w14:textId="77777777" w:rsidR="00D0479F" w:rsidRDefault="00D7729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58D1CE5" w14:textId="77777777" w:rsidR="00D0479F" w:rsidRDefault="00D7729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19A2B80" w14:textId="77777777" w:rsidR="00D0479F" w:rsidRDefault="00D7729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2838AB7" w14:textId="77777777" w:rsidR="00D0479F" w:rsidRDefault="00D7729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dược, Giấy chứng nhận thực hành tốt (nếu cơ sở đề nghị), Văn bản thông báo kết quả.</w:t>
      </w:r>
    </w:p>
    <w:p w14:paraId="6B6D77AD" w14:textId="77777777" w:rsidR="00D0479F" w:rsidRDefault="00D7729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49"/>
        <w:gridCol w:w="992"/>
        <w:gridCol w:w="1647"/>
      </w:tblGrid>
      <w:tr w:rsidR="00D0479F" w14:paraId="15935F1A" w14:textId="77777777">
        <w:tblPrEx>
          <w:tblCellMar>
            <w:top w:w="0" w:type="dxa"/>
            <w:bottom w:w="0" w:type="dxa"/>
          </w:tblCellMar>
        </w:tblPrEx>
        <w:tc>
          <w:tcPr>
            <w:tcW w:w="2000" w:type="dxa"/>
          </w:tcPr>
          <w:p w14:paraId="619528F3" w14:textId="77777777" w:rsidR="00D0479F" w:rsidRDefault="00D0479F"/>
          <w:p w14:paraId="3250CAEB" w14:textId="77777777" w:rsidR="00D0479F" w:rsidRDefault="00D77290">
            <w:pPr>
              <w:spacing w:after="0" w:line="276" w:lineRule="auto"/>
              <w:jc w:val="center"/>
            </w:pPr>
            <w:r>
              <w:rPr>
                <w:rFonts w:ascii="Times New Roman" w:eastAsia="Times New Roman" w:hAnsi="Times New Roman" w:cs="Times New Roman"/>
                <w:b/>
                <w:sz w:val="26"/>
              </w:rPr>
              <w:t>Số ký hiệu</w:t>
            </w:r>
          </w:p>
        </w:tc>
        <w:tc>
          <w:tcPr>
            <w:tcW w:w="3500" w:type="dxa"/>
          </w:tcPr>
          <w:p w14:paraId="60856EA3" w14:textId="77777777" w:rsidR="00D0479F" w:rsidRDefault="00D0479F"/>
          <w:p w14:paraId="79F2582D" w14:textId="77777777" w:rsidR="00D0479F" w:rsidRDefault="00D77290">
            <w:pPr>
              <w:spacing w:after="0" w:line="276" w:lineRule="auto"/>
              <w:jc w:val="center"/>
            </w:pPr>
            <w:r>
              <w:rPr>
                <w:rFonts w:ascii="Times New Roman" w:eastAsia="Times New Roman" w:hAnsi="Times New Roman" w:cs="Times New Roman"/>
                <w:b/>
                <w:sz w:val="26"/>
              </w:rPr>
              <w:t>Trích yếu</w:t>
            </w:r>
          </w:p>
        </w:tc>
        <w:tc>
          <w:tcPr>
            <w:tcW w:w="1500" w:type="dxa"/>
          </w:tcPr>
          <w:p w14:paraId="612DA4F1" w14:textId="77777777" w:rsidR="00D0479F" w:rsidRDefault="00D0479F"/>
          <w:p w14:paraId="2F1D8F4A" w14:textId="77777777" w:rsidR="00D0479F" w:rsidRDefault="00D77290">
            <w:pPr>
              <w:spacing w:after="0" w:line="276" w:lineRule="auto"/>
              <w:jc w:val="center"/>
            </w:pPr>
            <w:r>
              <w:rPr>
                <w:rFonts w:ascii="Times New Roman" w:eastAsia="Times New Roman" w:hAnsi="Times New Roman" w:cs="Times New Roman"/>
                <w:b/>
                <w:sz w:val="26"/>
              </w:rPr>
              <w:t>Ngày ban hành</w:t>
            </w:r>
          </w:p>
        </w:tc>
        <w:tc>
          <w:tcPr>
            <w:tcW w:w="3000" w:type="dxa"/>
          </w:tcPr>
          <w:p w14:paraId="1C0EC647" w14:textId="77777777" w:rsidR="00D0479F" w:rsidRDefault="00D0479F"/>
          <w:p w14:paraId="7DD954B3" w14:textId="77777777" w:rsidR="00D0479F" w:rsidRDefault="00D77290">
            <w:pPr>
              <w:spacing w:after="0" w:line="276" w:lineRule="auto"/>
              <w:jc w:val="center"/>
            </w:pPr>
            <w:r>
              <w:rPr>
                <w:rFonts w:ascii="Times New Roman" w:eastAsia="Times New Roman" w:hAnsi="Times New Roman" w:cs="Times New Roman"/>
                <w:b/>
                <w:sz w:val="26"/>
              </w:rPr>
              <w:t>Cơ quan ban hành</w:t>
            </w:r>
          </w:p>
        </w:tc>
      </w:tr>
      <w:tr w:rsidR="00D0479F" w14:paraId="47EBC04E" w14:textId="77777777">
        <w:tblPrEx>
          <w:tblCellMar>
            <w:top w:w="0" w:type="dxa"/>
            <w:bottom w:w="0" w:type="dxa"/>
          </w:tblCellMar>
        </w:tblPrEx>
        <w:tc>
          <w:tcPr>
            <w:tcW w:w="0" w:type="auto"/>
          </w:tcPr>
          <w:p w14:paraId="51B41687" w14:textId="77777777" w:rsidR="00D0479F" w:rsidRDefault="00D0479F"/>
          <w:p w14:paraId="04D107B9" w14:textId="77777777" w:rsidR="00D0479F" w:rsidRDefault="00D77290">
            <w:pPr>
              <w:spacing w:after="0" w:line="276" w:lineRule="auto"/>
            </w:pPr>
            <w:r>
              <w:rPr>
                <w:rFonts w:ascii="Times New Roman" w:eastAsia="Times New Roman" w:hAnsi="Times New Roman" w:cs="Times New Roman"/>
                <w:sz w:val="26"/>
              </w:rPr>
              <w:t>105/2016/QH13</w:t>
            </w:r>
          </w:p>
        </w:tc>
        <w:tc>
          <w:tcPr>
            <w:tcW w:w="0" w:type="auto"/>
          </w:tcPr>
          <w:p w14:paraId="6221ED0B" w14:textId="77777777" w:rsidR="00D0479F" w:rsidRDefault="00D0479F"/>
          <w:p w14:paraId="4A8F989C" w14:textId="77777777" w:rsidR="00D0479F" w:rsidRDefault="00D77290">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01DE7BCE" w14:textId="77777777" w:rsidR="00D0479F" w:rsidRDefault="00D0479F"/>
          <w:p w14:paraId="4F404D3A" w14:textId="77777777" w:rsidR="00D0479F" w:rsidRDefault="00D77290">
            <w:pPr>
              <w:spacing w:after="0" w:line="276" w:lineRule="auto"/>
            </w:pPr>
            <w:r>
              <w:rPr>
                <w:rFonts w:ascii="Times New Roman" w:eastAsia="Times New Roman" w:hAnsi="Times New Roman" w:cs="Times New Roman"/>
                <w:sz w:val="26"/>
              </w:rPr>
              <w:t>06-04-2016</w:t>
            </w:r>
          </w:p>
        </w:tc>
        <w:tc>
          <w:tcPr>
            <w:tcW w:w="0" w:type="auto"/>
          </w:tcPr>
          <w:p w14:paraId="70DF772C" w14:textId="77777777" w:rsidR="00D0479F" w:rsidRDefault="00D0479F"/>
        </w:tc>
      </w:tr>
      <w:tr w:rsidR="00D0479F" w14:paraId="44B8911C" w14:textId="77777777">
        <w:tblPrEx>
          <w:tblCellMar>
            <w:top w:w="0" w:type="dxa"/>
            <w:bottom w:w="0" w:type="dxa"/>
          </w:tblCellMar>
        </w:tblPrEx>
        <w:tc>
          <w:tcPr>
            <w:tcW w:w="0" w:type="auto"/>
          </w:tcPr>
          <w:p w14:paraId="3A3D4AC6" w14:textId="77777777" w:rsidR="00D0479F" w:rsidRDefault="00D0479F"/>
          <w:p w14:paraId="5C6A70FC" w14:textId="77777777" w:rsidR="00D0479F" w:rsidRDefault="00D77290">
            <w:pPr>
              <w:spacing w:after="0" w:line="276" w:lineRule="auto"/>
            </w:pPr>
            <w:r>
              <w:rPr>
                <w:rFonts w:ascii="Times New Roman" w:eastAsia="Times New Roman" w:hAnsi="Times New Roman" w:cs="Times New Roman"/>
                <w:sz w:val="26"/>
              </w:rPr>
              <w:t>41/2023/TT-BTC</w:t>
            </w:r>
          </w:p>
        </w:tc>
        <w:tc>
          <w:tcPr>
            <w:tcW w:w="0" w:type="auto"/>
          </w:tcPr>
          <w:p w14:paraId="7A7D5254" w14:textId="77777777" w:rsidR="00D0479F" w:rsidRDefault="00D0479F"/>
          <w:p w14:paraId="34CC581A" w14:textId="77777777" w:rsidR="00D0479F" w:rsidRDefault="00D77290">
            <w:pPr>
              <w:spacing w:after="0" w:line="276" w:lineRule="auto"/>
            </w:pPr>
            <w:r>
              <w:rPr>
                <w:rFonts w:ascii="Times New Roman" w:eastAsia="Times New Roman" w:hAnsi="Times New Roman" w:cs="Times New Roman"/>
                <w:sz w:val="26"/>
              </w:rPr>
              <w:t>41/2023/TT-BTC</w:t>
            </w:r>
          </w:p>
        </w:tc>
        <w:tc>
          <w:tcPr>
            <w:tcW w:w="0" w:type="auto"/>
          </w:tcPr>
          <w:p w14:paraId="1E5CB364" w14:textId="77777777" w:rsidR="00D0479F" w:rsidRDefault="00D0479F"/>
          <w:p w14:paraId="655AC3EA" w14:textId="77777777" w:rsidR="00D0479F" w:rsidRDefault="00D77290">
            <w:pPr>
              <w:spacing w:after="0" w:line="276" w:lineRule="auto"/>
            </w:pPr>
            <w:r>
              <w:rPr>
                <w:rFonts w:ascii="Times New Roman" w:eastAsia="Times New Roman" w:hAnsi="Times New Roman" w:cs="Times New Roman"/>
                <w:sz w:val="26"/>
              </w:rPr>
              <w:t>12-06-2023</w:t>
            </w:r>
          </w:p>
        </w:tc>
        <w:tc>
          <w:tcPr>
            <w:tcW w:w="0" w:type="auto"/>
          </w:tcPr>
          <w:p w14:paraId="661AD7E0" w14:textId="77777777" w:rsidR="00D0479F" w:rsidRDefault="00D0479F"/>
          <w:p w14:paraId="2ED88D7C" w14:textId="77777777" w:rsidR="00D0479F" w:rsidRDefault="00D77290">
            <w:pPr>
              <w:spacing w:after="0" w:line="276" w:lineRule="auto"/>
            </w:pPr>
            <w:r>
              <w:rPr>
                <w:rFonts w:ascii="Times New Roman" w:eastAsia="Times New Roman" w:hAnsi="Times New Roman" w:cs="Times New Roman"/>
                <w:sz w:val="26"/>
              </w:rPr>
              <w:t>Bộ Tài chính</w:t>
            </w:r>
          </w:p>
        </w:tc>
      </w:tr>
      <w:tr w:rsidR="00D0479F" w14:paraId="720A0625" w14:textId="77777777">
        <w:tblPrEx>
          <w:tblCellMar>
            <w:top w:w="0" w:type="dxa"/>
            <w:bottom w:w="0" w:type="dxa"/>
          </w:tblCellMar>
        </w:tblPrEx>
        <w:tc>
          <w:tcPr>
            <w:tcW w:w="0" w:type="auto"/>
          </w:tcPr>
          <w:p w14:paraId="77A3A873" w14:textId="77777777" w:rsidR="00D0479F" w:rsidRDefault="00D0479F"/>
          <w:p w14:paraId="5C823657" w14:textId="77777777" w:rsidR="00D0479F" w:rsidRDefault="00D77290">
            <w:pPr>
              <w:spacing w:after="0" w:line="276" w:lineRule="auto"/>
            </w:pPr>
            <w:r>
              <w:rPr>
                <w:rFonts w:ascii="Times New Roman" w:eastAsia="Times New Roman" w:hAnsi="Times New Roman" w:cs="Times New Roman"/>
                <w:sz w:val="26"/>
              </w:rPr>
              <w:t>44/2024/QH15</w:t>
            </w:r>
          </w:p>
        </w:tc>
        <w:tc>
          <w:tcPr>
            <w:tcW w:w="0" w:type="auto"/>
          </w:tcPr>
          <w:p w14:paraId="0A6B9D79" w14:textId="77777777" w:rsidR="00D0479F" w:rsidRDefault="00D0479F"/>
          <w:p w14:paraId="5D84D3B7" w14:textId="77777777" w:rsidR="00D0479F" w:rsidRDefault="00D77290">
            <w:pPr>
              <w:spacing w:after="0" w:line="276" w:lineRule="auto"/>
            </w:pPr>
            <w:r>
              <w:rPr>
                <w:rFonts w:ascii="Times New Roman" w:eastAsia="Times New Roman" w:hAnsi="Times New Roman" w:cs="Times New Roman"/>
                <w:sz w:val="26"/>
              </w:rPr>
              <w:t>Luật số 44/2024/QH15</w:t>
            </w:r>
          </w:p>
        </w:tc>
        <w:tc>
          <w:tcPr>
            <w:tcW w:w="0" w:type="auto"/>
          </w:tcPr>
          <w:p w14:paraId="4BBB0C7D" w14:textId="77777777" w:rsidR="00D0479F" w:rsidRDefault="00D0479F"/>
          <w:p w14:paraId="61DAFEA9" w14:textId="77777777" w:rsidR="00D0479F" w:rsidRDefault="00D77290">
            <w:pPr>
              <w:spacing w:after="0" w:line="276" w:lineRule="auto"/>
            </w:pPr>
            <w:r>
              <w:rPr>
                <w:rFonts w:ascii="Times New Roman" w:eastAsia="Times New Roman" w:hAnsi="Times New Roman" w:cs="Times New Roman"/>
                <w:sz w:val="26"/>
              </w:rPr>
              <w:t>21-11-2024</w:t>
            </w:r>
          </w:p>
        </w:tc>
        <w:tc>
          <w:tcPr>
            <w:tcW w:w="0" w:type="auto"/>
          </w:tcPr>
          <w:p w14:paraId="29687EC6" w14:textId="77777777" w:rsidR="00D0479F" w:rsidRDefault="00D0479F"/>
          <w:p w14:paraId="28D4428E" w14:textId="77777777" w:rsidR="00D0479F" w:rsidRDefault="00D77290">
            <w:pPr>
              <w:spacing w:after="0" w:line="276" w:lineRule="auto"/>
            </w:pPr>
            <w:r>
              <w:rPr>
                <w:rFonts w:ascii="Times New Roman" w:eastAsia="Times New Roman" w:hAnsi="Times New Roman" w:cs="Times New Roman"/>
                <w:sz w:val="26"/>
              </w:rPr>
              <w:t>Quốc Hội</w:t>
            </w:r>
          </w:p>
        </w:tc>
      </w:tr>
      <w:tr w:rsidR="00D0479F" w14:paraId="58898DB3" w14:textId="77777777">
        <w:tblPrEx>
          <w:tblCellMar>
            <w:top w:w="0" w:type="dxa"/>
            <w:bottom w:w="0" w:type="dxa"/>
          </w:tblCellMar>
        </w:tblPrEx>
        <w:tc>
          <w:tcPr>
            <w:tcW w:w="0" w:type="auto"/>
          </w:tcPr>
          <w:p w14:paraId="059A9B00" w14:textId="77777777" w:rsidR="00D0479F" w:rsidRDefault="00D0479F"/>
          <w:p w14:paraId="173915A9" w14:textId="77777777" w:rsidR="00D0479F" w:rsidRDefault="00D77290">
            <w:pPr>
              <w:spacing w:after="0" w:line="276" w:lineRule="auto"/>
            </w:pPr>
            <w:r>
              <w:rPr>
                <w:rFonts w:ascii="Times New Roman" w:eastAsia="Times New Roman" w:hAnsi="Times New Roman" w:cs="Times New Roman"/>
                <w:sz w:val="26"/>
              </w:rPr>
              <w:t>163/2025/NĐ-CP</w:t>
            </w:r>
          </w:p>
        </w:tc>
        <w:tc>
          <w:tcPr>
            <w:tcW w:w="0" w:type="auto"/>
          </w:tcPr>
          <w:p w14:paraId="0400B2E4" w14:textId="77777777" w:rsidR="00D0479F" w:rsidRDefault="00D0479F"/>
          <w:p w14:paraId="29DB74AD" w14:textId="77777777" w:rsidR="00D0479F" w:rsidRDefault="00D77290">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6317CBE4" w14:textId="77777777" w:rsidR="00D0479F" w:rsidRDefault="00D0479F"/>
          <w:p w14:paraId="22F5C8C4" w14:textId="77777777" w:rsidR="00D0479F" w:rsidRDefault="00D77290">
            <w:pPr>
              <w:spacing w:after="0" w:line="276" w:lineRule="auto"/>
            </w:pPr>
            <w:r>
              <w:rPr>
                <w:rFonts w:ascii="Times New Roman" w:eastAsia="Times New Roman" w:hAnsi="Times New Roman" w:cs="Times New Roman"/>
                <w:sz w:val="26"/>
              </w:rPr>
              <w:t>29-06-2025</w:t>
            </w:r>
          </w:p>
        </w:tc>
        <w:tc>
          <w:tcPr>
            <w:tcW w:w="0" w:type="auto"/>
          </w:tcPr>
          <w:p w14:paraId="4A23C000" w14:textId="77777777" w:rsidR="00D0479F" w:rsidRDefault="00D0479F"/>
        </w:tc>
      </w:tr>
    </w:tbl>
    <w:p w14:paraId="300DF3BB" w14:textId="77777777" w:rsidR="00D0479F" w:rsidRDefault="00D7729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Điểm c, d khoản 1 điều 33 Luật Dược: c) Cơ sở bán buôn thuốc, nguyên liệu làm thuốc phải có địa điểm, kho bảo quản thuốc, trang thiết bị bảo quản, phương tiện vận chuyển, hệ thống quản lý chất lượng, tài liệu chuyên môn kỹ thuật và nhân sự đáp ứng Thực hành tốt phân phối thuốc, nguyên liệu làm thuốc d) Cơ sở bán lẻ thuốc phải có địa điểm, khu vực bảo quản, trang thiết bị bảo quản, tài liệu chuyên môn kỹ thuật và nhân sự đáp ứng Thực hành tốt cơ sở bán lẻ thuốc; đối với cơ sở chuyên bán lẻ dược liệu, thuố</w:t>
      </w:r>
      <w:r>
        <w:rPr>
          <w:rFonts w:ascii="Times New Roman" w:eastAsia="Times New Roman" w:hAnsi="Times New Roman" w:cs="Times New Roman"/>
          <w:sz w:val="26"/>
        </w:rPr>
        <w:t>c dược liệu, thuốc cổ truyền thực hiện theo quy định tại điểm b khoản 2 Điều 69 của Luật Dược; 2. Khoản 2 Điều 33 Luật Dược: 2. Người chịu trách nhiệm chuyên môn về dược và vị trí công việc quy định tại Điều 11 của Luật Dược phải có Chứng chỉ hành nghề dược phù hợp với cơ sở kinh doanh dược quy định tại khoản 2 Điều 32 của Luật Dược.  3. Điểm b khoản 1 Điều 34 Luật Dược:  - b) Có các biện pháp về an ninh, bảo đảm không thất thoát thuốc, nguyên liệu làm thuốc phải kiểm soát đặc biệt. 4. Khoản 1 Điều</w:t>
      </w:r>
      <w:r>
        <w:rPr>
          <w:rFonts w:ascii="Times New Roman" w:eastAsia="Times New Roman" w:hAnsi="Times New Roman" w:cs="Times New Roman"/>
          <w:sz w:val="26"/>
        </w:rPr>
        <w:t xml:space="preserve"> 30 Nghị định số 163/2025/NĐ-CP ngày 29/6/2025 1. Cơ sở kinh doanh thuốc phải kiểm soát đặc biệt phải thực hiện các quy định tại các Điều 31, 32, 33, 34, 35 và 36 của Nghị định số 163/2025/NĐ-CP. 5. Khoản 7, 8, 9 và 13 Điều 31 Nghị định số 163/2025/NĐ-CP ngày 29/6/2025 7. Đối với cơ sở bán buôn thuốc gây nghiện, thuốc hướng thần, thuốc tiền chất: a) Có kho riêng hoặc khu vực riêng đáp ứng nguyên tắc Thực hành tốt bảo quản thuốc, nguyên liệu làm thuốc để bảo quản thuốc gây nghiện, thuốc hướng thần, thuốc tiề</w:t>
      </w:r>
      <w:r>
        <w:rPr>
          <w:rFonts w:ascii="Times New Roman" w:eastAsia="Times New Roman" w:hAnsi="Times New Roman" w:cs="Times New Roman"/>
          <w:sz w:val="26"/>
        </w:rPr>
        <w:t>n chất. Kho, khu vực riêng phải có cửa, có khoá chắc chắn; b) Có hệ thống camera tại khu vực bảo quản thuốc; c) Có hệ thống quản lý, theo dõi bằng hồ sơ sổ sách theo quy định của Bộ trưởng Bộ Y tế.  8. Đối với cơ sở bán lẻ thuốc gây nghiện, thuốc hướng thần, thuốc tiền chất:  a) Thuốc gây nghiện, thuốc hướng thần, thuốc tiền chất phải bảo quản trong tủ riêng hoặc ngăn riêng có khóa chắc chắn; b) Có hệ thống quản lý, theo dõi bằng hồ sơ sổ sách theo quy định của Bộ trưởng Bộ Y tế. 9. Đối với cơ sở bán lẻ thu</w:t>
      </w:r>
      <w:r>
        <w:rPr>
          <w:rFonts w:ascii="Times New Roman" w:eastAsia="Times New Roman" w:hAnsi="Times New Roman" w:cs="Times New Roman"/>
          <w:sz w:val="26"/>
        </w:rPr>
        <w:t>ốc dạng phối hợp có chứa dược chất gây nghiện, thuốc dạng phối hợp có chứa dược chất hướng thần, thuốc dạng phối hợp có chứa tiền chất phải thực hiện việc theo dõi bằng hệ thống phần mềm hoặc hồ sơ, sổ sách theo quy định của Bộ trưởng Bộ Y tế. 13. Đối với cơ sở kinh doanh thuốc độc, nguyên liệu độc làm thuốc, thuốc và dược chất trong danh mục thuốc, dược chất thuộc danh mục chất bị cấm sử dụng trong một số ngành, lĩnh vực phải thực hiện việc theo dõi bằng hệ thống phần mềm hoặc hồ sơ, sổ sách quản lý toàn b</w:t>
      </w:r>
      <w:r>
        <w:rPr>
          <w:rFonts w:ascii="Times New Roman" w:eastAsia="Times New Roman" w:hAnsi="Times New Roman" w:cs="Times New Roman"/>
          <w:sz w:val="26"/>
        </w:rPr>
        <w:t>ộ quá trình xuất, nhập, tồn kho theo quy định của Bộ trưởng Bộ Y tế. 6. Khoản 5,6,7 Điều 32 Nghị định số 163/2025/NĐ-CP ngày 29  tháng 6 năm 2025 5. Đối với cơ sở bán buôn thuốc gây nghiện, thuốc hướng thần, thuốc tiền chất: a) Thủ kho bảo quản thuốc gây nghiện phải là người có bằng tốt nghiệp đại học ngành dược trở lên, có thời gian thực hành chuyên môn ít nhất 12 tháng tại cơ sở kinh doanh dược; b) Thủ kho bảo quản thuốc hướng thần, thuốc tiền chất phải là người có bằng tốt nghiệp trung cấp ngành dược trở</w:t>
      </w:r>
      <w:r>
        <w:rPr>
          <w:rFonts w:ascii="Times New Roman" w:eastAsia="Times New Roman" w:hAnsi="Times New Roman" w:cs="Times New Roman"/>
          <w:sz w:val="26"/>
        </w:rPr>
        <w:t xml:space="preserve"> lên, có thời gian thực hành chuyên môn ít nhất 12 tháng tại cơ sở kinh doanh dược. 6. Đối với cơ sở bán lẻ thuốc gây nghiện, thuốc hướng thần, thuốc tiền chất: a) Người chịu trách nhiệm bán lẻ thuốc gây nghiện phải là người có bằng tốt nghiệp đại học ngành dược trở lên; b) Người chịu trách nhiệm bán lẻ thuốc hướng thần, thuốc tiền chất phải là người có bằng tốt nghiệp trung cấp ngành dược trở lên. 7. Đối với cơ sở bán lẻ thuốc phóng xạ: Người chịu trách nhiệm bán lẻ phải là người có bằng tốt nghiệp trung c</w:t>
      </w:r>
      <w:r>
        <w:rPr>
          <w:rFonts w:ascii="Times New Roman" w:eastAsia="Times New Roman" w:hAnsi="Times New Roman" w:cs="Times New Roman"/>
          <w:sz w:val="26"/>
        </w:rPr>
        <w:t>ấp ngành dược trở lên. 7. Khoản 4,5 điều 19 Nghị định số 163/2025/NĐ-CP ngày 29 tháng 6 năm 2025 4. Cơ sở bán buôn thuốc cổ truyền phải có cơ sở vật chất, tài liệu chuyên môn kỹ thuật và nhân sự đáp ứng Thực hành tốt phân phối thuốc. Người chịu trách nhiệm chuyên môn về dược của cơ sở bán buôn thuốc cổ truyền theo quy định tại khoản 3 Điều 16 của Luật Dược. 5. Điều kiện của cơ sở chuyên bán lẻ dược liệu, thuốc dược liệu, thuốc cổ truyền: a) Người chịu trách nhiệm chuyên môn về dược của cơ sở bán lẻ dược liệ</w:t>
      </w:r>
      <w:r>
        <w:rPr>
          <w:rFonts w:ascii="Times New Roman" w:eastAsia="Times New Roman" w:hAnsi="Times New Roman" w:cs="Times New Roman"/>
          <w:sz w:val="26"/>
        </w:rPr>
        <w:t>u, thuốc dược liệu, thuốc cổ truyền theo quy định tại khoản 4 Điều 18 của Luật Dược; b) Có địa điểm cố định, riêng biệt; được xây dựng chắc chắn; diện tích phù hợp với quy mô kinh doanh; bố trí ở nơi cao ráo, thoáng mát, an toàn, cách xa nguồn ô nhiễm; c) Phải có khu vực bảo quản và trang thiết bị bảo quản phù hợp với yêu cầu bảo quản ghi trên nhãn. Dược liệu độc phải được bày bán (nếu có) và bảo quản tại khu vực riêng; trường hợp được bày bán và bảo quản trong cùng một khu vực với các dược liệu khác thì ph</w:t>
      </w:r>
      <w:r>
        <w:rPr>
          <w:rFonts w:ascii="Times New Roman" w:eastAsia="Times New Roman" w:hAnsi="Times New Roman" w:cs="Times New Roman"/>
          <w:sz w:val="26"/>
        </w:rPr>
        <w:t>ải để riêng và ghi rõ “dược liệu độc” để tránh nhầm lẫn. Cơ sở chuyên bán lẻ thuốc dược liệu, thuốc cổ truyền hoặc chuyên bán lẻ dược liệu thì chỉ cần có khu vực bảo quản tương ứng để bảo quản thuốc dược liệu, thuốc cổ truyền hoặc để bảo quản dược liệu, vị thuốc cổ truyền;  d) Dụng cụ, bao bì tiếp xúc trực tiếp với thuốc dược liệu, thuốc cổ truyền, dược liệu phải bảo đảm không ảnh hưởng đến chất lượng của thuốc dược liệu, thuốc cổ truyền, dược liệu; đ) Có sổ sách ghi chép hoặc biện pháp phù hợp để lưu giữ t</w:t>
      </w:r>
      <w:r>
        <w:rPr>
          <w:rFonts w:ascii="Times New Roman" w:eastAsia="Times New Roman" w:hAnsi="Times New Roman" w:cs="Times New Roman"/>
          <w:sz w:val="26"/>
        </w:rPr>
        <w:t>hông tin về hoạt động xuất nhập, truy xuất nguồn gốc; e) Người bán lẻ dược liệu, thuốc dược liệu, thuốc cổ truyền phải có một trong các văn bằng quy định tại các điểm a, c, e, g, i hoặc l khoản 1 Điều 13 của Luật Dược. Đối với dược liệu độc, thuốc dược liệu kê đơn, thuốc cổ truyền kê đơn thì người trực tiếp bán lẻ và tư vấn cho người mua phải là người chịu trách nhiệm chuyên môn của cơ sở bán lẻ; g) Trường hợp cơ sở bán lẻ có kinh doanh thêm các mặt hàng khác theo quy định của pháp luật thì các mặt hàng này</w:t>
      </w:r>
      <w:r>
        <w:rPr>
          <w:rFonts w:ascii="Times New Roman" w:eastAsia="Times New Roman" w:hAnsi="Times New Roman" w:cs="Times New Roman"/>
          <w:sz w:val="26"/>
        </w:rPr>
        <w:t xml:space="preserve"> phải được bày bán, bảo quản ở khu vực riêng và không gây ảnh hưởng đến dược liệu, thuốc dược liệu, thuốc cổ truyền. 8. Khoản 2 Điều 37 của Luật Dược được sửa đổi bởi Luật sửa đổi, bổ sung một số điều của Luật Dược ngày 21/11/2024 2. Giám đốc Sở Y tế cấp, cấp lại, điều chỉnh và thu hồi Giấy chứng nhận đủ điều kiện kinh doanh dược đối với cơ sở kinh doanh dược quy định tại điểm d và điểm đ khoản 2 Điều 32 của Luật Dược.</w:t>
      </w:r>
    </w:p>
    <w:p w14:paraId="224C0F66" w14:textId="77777777" w:rsidR="00D0479F" w:rsidRDefault="00D7729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AF773F3" w14:textId="77777777" w:rsidR="00D0479F" w:rsidRDefault="00D7729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https://thutuc.dichvucong.gov.vn/p/home/dvc-tthc-thu-tuc-hanh-chinh-chi-tiet.html?ma_thu_tuc=406902</w:t>
      </w:r>
    </w:p>
    <w:sectPr w:rsidR="00D0479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479F"/>
    <w:rsid w:val="005176DB"/>
    <w:rsid w:val="00D0479F"/>
    <w:rsid w:val="00D77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B77F"/>
  <w15:docId w15:val="{A61AB9D6-92CD-49F1-9C49-C96810C9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2344</Words>
  <Characters>13366</Characters>
  <Application>Microsoft Office Word</Application>
  <DocSecurity>0</DocSecurity>
  <Lines>111</Lines>
  <Paragraphs>31</Paragraphs>
  <ScaleCrop>false</ScaleCrop>
  <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