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3F7E" w:rsidRDefault="00974AB3">
      <w:pPr>
        <w:spacing w:after="300" w:line="276" w:lineRule="auto"/>
        <w:jc w:val="center"/>
      </w:pPr>
      <w:r>
        <w:rPr>
          <w:rFonts w:ascii="Times New Roman" w:eastAsia="Times New Roman" w:hAnsi="Times New Roman" w:cs="Times New Roman"/>
          <w:b/>
          <w:sz w:val="26"/>
        </w:rPr>
        <w:t>Chi tiết thủ tục hành chính</w:t>
      </w:r>
    </w:p>
    <w:p w:rsidR="00A53F7E" w:rsidRDefault="00974AB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1.014080</w:t>
      </w:r>
    </w:p>
    <w:p w:rsidR="00A53F7E" w:rsidRDefault="00974AB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rsidR="00A53F7E" w:rsidRDefault="00974AB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Cho phép nhượng lại nguyên liệu làm thuốc là dược chất gây nghiện, dược chất hướng thần, tiền chất dùng làm thuốc</w:t>
      </w:r>
    </w:p>
    <w:p w:rsidR="00A53F7E" w:rsidRDefault="00974AB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A53F7E" w:rsidRDefault="00974AB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A53F7E" w:rsidRDefault="00974AB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A53F7E" w:rsidRDefault="00974AB3">
      <w:pPr>
        <w:spacing w:after="0" w:line="276" w:lineRule="auto"/>
        <w:jc w:val="both"/>
      </w:pPr>
      <w:r>
        <w:rPr>
          <w:rFonts w:ascii="Times New Roman" w:eastAsia="Times New Roman" w:hAnsi="Times New Roman" w:cs="Times New Roman"/>
          <w:b/>
          <w:sz w:val="26"/>
        </w:rPr>
        <w:t xml:space="preserve">Trình tự thực hiện: </w:t>
      </w:r>
    </w:p>
    <w:p w:rsidR="00A53F7E" w:rsidRDefault="00A53F7E">
      <w:pPr>
        <w:shd w:val="clear" w:color="auto" w:fill="F2F6F9"/>
        <w:spacing w:before="120" w:after="0" w:line="276" w:lineRule="auto"/>
        <w:jc w:val="both"/>
      </w:pPr>
    </w:p>
    <w:p w:rsidR="00A53F7E" w:rsidRDefault="00974AB3">
      <w:pPr>
        <w:spacing w:after="0" w:line="276" w:lineRule="auto"/>
        <w:jc w:val="both"/>
      </w:pPr>
      <w:r>
        <w:rPr>
          <w:rFonts w:ascii="Times New Roman" w:eastAsia="Times New Roman" w:hAnsi="Times New Roman" w:cs="Times New Roman"/>
          <w:sz w:val="26"/>
        </w:rPr>
        <w:t>Bước 1: Cơ sở đề nghị nhượng lại n guyên liệu nộp hồ sơ trực tiếp hoặc qua dịch vụ bưu chính hoặc trực tuyến về Bộ Y tế (Cục Quản lý Dược). Bước 2: Cơ quan tiếp nhận hồ sơ trả cho cơ sở đề nghị Phiếu tiếp nhận hồ sơ theo Mẫu số 01 tại Phụ lục I ban hành kèm theo Nghị định số 163/2025/NĐ-CP  Bước 3: Trường hợp không có yêu cầu sửa đổi, bổ sung hồ sơ, Cục Quản lý Dược cho phép bằng văn bản gửi cơ sở trong thời hạn 30 ngày kể từ ngày ghi trên Phiếu tiếp nhận hồ sơ. Bước 4: Trường hợp có yêu cầu sửa đổi, bổ sun</w:t>
      </w:r>
      <w:r>
        <w:rPr>
          <w:rFonts w:ascii="Times New Roman" w:eastAsia="Times New Roman" w:hAnsi="Times New Roman" w:cs="Times New Roman"/>
          <w:sz w:val="26"/>
        </w:rPr>
        <w:t>g hồ sơ, Cục Quản lý Dược có văn bản gửi cơ sở trong thời hạn 30 ngày kể từ ngày ghi trên Phiếu tiếp nhận hồ sơ theo mẫu số 16 Phụ lục I ban hành kèm theo Nghị định số 163/2025/NĐ-CP, trong đó phải nêu cụ thể các tài liệu, nội dung cần sửa đổi, bổ sung. Trong thời hạn 06 tháng kể từ ngày Cục Quản lý Dược có văn bản thông báo sửa đổi, bổ sung, cơ sở phải nộp hồ sơ sửa đổi, bổ sung theo yêu cầu. Sau thời hạn trên, cơ sở không nộp hồ sơ sửa đổi, bổ sung thì hồ sơ đã nộp không còn giá trị. Bước 5: Sau khi cơ sở</w:t>
      </w:r>
      <w:r>
        <w:rPr>
          <w:rFonts w:ascii="Times New Roman" w:eastAsia="Times New Roman" w:hAnsi="Times New Roman" w:cs="Times New Roman"/>
          <w:sz w:val="26"/>
        </w:rPr>
        <w:t xml:space="preserve"> nộp hồ sơ sửa đổi, bổ sung, Cục Quản lý Dược trả cho cơ sở Phiếu tiếp nhận hồ sơ sửa đổi, bổ sung. a) Trường hợp hồ sơ sửa đổi, bổ sung không đáp ứng yêu cầu, trong thời hạn 30 ngày kể từ ngày ghi trên Phiếu tiếp nhận hồ sơ, Cục Quản lý Dược  có văn bản trả lời không phê duyệt đơn hàng và nêu rõ lý do; b) Trường hợp không có yêu cầu sửa đổi, bổ sung đối với hồ sơ sửa đổi, bổ sung, Cục Quản lý Dược cho phép bằng văn bản gửi cơ sở trong thời hạn 30 ngày kể từ ngày ghi trên Phiếu tiếp nhận hồ sơ sửa đổi, bổ s</w:t>
      </w:r>
      <w:r>
        <w:rPr>
          <w:rFonts w:ascii="Times New Roman" w:eastAsia="Times New Roman" w:hAnsi="Times New Roman" w:cs="Times New Roman"/>
          <w:sz w:val="26"/>
        </w:rPr>
        <w:t>ung.</w:t>
      </w:r>
    </w:p>
    <w:p w:rsidR="00A53F7E" w:rsidRDefault="00974AB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A53F7E">
        <w:tblPrEx>
          <w:tblCellMar>
            <w:top w:w="0" w:type="dxa"/>
            <w:bottom w:w="0" w:type="dxa"/>
          </w:tblCellMar>
        </w:tblPrEx>
        <w:tc>
          <w:tcPr>
            <w:tcW w:w="1500" w:type="dxa"/>
          </w:tcPr>
          <w:p w:rsidR="00A53F7E" w:rsidRDefault="00A53F7E"/>
          <w:p w:rsidR="00A53F7E" w:rsidRDefault="00974AB3">
            <w:pPr>
              <w:spacing w:after="0" w:line="276" w:lineRule="auto"/>
              <w:jc w:val="center"/>
            </w:pPr>
            <w:r>
              <w:rPr>
                <w:rFonts w:ascii="Times New Roman" w:eastAsia="Times New Roman" w:hAnsi="Times New Roman" w:cs="Times New Roman"/>
                <w:b/>
                <w:sz w:val="26"/>
              </w:rPr>
              <w:t>Hình thức nộp</w:t>
            </w:r>
          </w:p>
        </w:tc>
        <w:tc>
          <w:tcPr>
            <w:tcW w:w="2000" w:type="dxa"/>
          </w:tcPr>
          <w:p w:rsidR="00A53F7E" w:rsidRDefault="00A53F7E"/>
          <w:p w:rsidR="00A53F7E" w:rsidRDefault="00974AB3">
            <w:pPr>
              <w:spacing w:after="0" w:line="276" w:lineRule="auto"/>
              <w:jc w:val="center"/>
            </w:pPr>
            <w:r>
              <w:rPr>
                <w:rFonts w:ascii="Times New Roman" w:eastAsia="Times New Roman" w:hAnsi="Times New Roman" w:cs="Times New Roman"/>
                <w:b/>
                <w:sz w:val="26"/>
              </w:rPr>
              <w:t>Thời hạn giải quyết</w:t>
            </w:r>
          </w:p>
        </w:tc>
        <w:tc>
          <w:tcPr>
            <w:tcW w:w="3500" w:type="dxa"/>
          </w:tcPr>
          <w:p w:rsidR="00A53F7E" w:rsidRDefault="00A53F7E"/>
          <w:p w:rsidR="00A53F7E" w:rsidRDefault="00974AB3">
            <w:pPr>
              <w:spacing w:after="0" w:line="276" w:lineRule="auto"/>
              <w:jc w:val="center"/>
            </w:pPr>
            <w:r>
              <w:rPr>
                <w:rFonts w:ascii="Times New Roman" w:eastAsia="Times New Roman" w:hAnsi="Times New Roman" w:cs="Times New Roman"/>
                <w:b/>
                <w:sz w:val="26"/>
              </w:rPr>
              <w:t>Phí, lệ phí</w:t>
            </w:r>
          </w:p>
        </w:tc>
        <w:tc>
          <w:tcPr>
            <w:tcW w:w="3000" w:type="dxa"/>
          </w:tcPr>
          <w:p w:rsidR="00A53F7E" w:rsidRDefault="00A53F7E"/>
          <w:p w:rsidR="00A53F7E" w:rsidRDefault="00974AB3">
            <w:pPr>
              <w:spacing w:after="0" w:line="276" w:lineRule="auto"/>
              <w:jc w:val="center"/>
            </w:pPr>
            <w:r>
              <w:rPr>
                <w:rFonts w:ascii="Times New Roman" w:eastAsia="Times New Roman" w:hAnsi="Times New Roman" w:cs="Times New Roman"/>
                <w:b/>
                <w:sz w:val="26"/>
              </w:rPr>
              <w:t>Mô tả</w:t>
            </w:r>
          </w:p>
        </w:tc>
      </w:tr>
      <w:tr w:rsidR="00A53F7E">
        <w:tblPrEx>
          <w:tblCellMar>
            <w:top w:w="0" w:type="dxa"/>
            <w:bottom w:w="0" w:type="dxa"/>
          </w:tblCellMar>
        </w:tblPrEx>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Trực tiếp</w:t>
            </w:r>
          </w:p>
        </w:tc>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30 Ngày</w:t>
            </w:r>
          </w:p>
        </w:tc>
        <w:tc>
          <w:tcPr>
            <w:tcW w:w="0" w:type="auto"/>
          </w:tcPr>
          <w:p w:rsidR="00A53F7E" w:rsidRDefault="00A53F7E"/>
          <w:p w:rsidR="00A53F7E" w:rsidRDefault="00A53F7E">
            <w:pPr>
              <w:spacing w:after="0" w:line="276" w:lineRule="auto"/>
            </w:pPr>
          </w:p>
        </w:tc>
        <w:tc>
          <w:tcPr>
            <w:tcW w:w="0" w:type="auto"/>
          </w:tcPr>
          <w:p w:rsidR="00A53F7E" w:rsidRDefault="00A53F7E"/>
        </w:tc>
      </w:tr>
      <w:tr w:rsidR="00A53F7E">
        <w:tblPrEx>
          <w:tblCellMar>
            <w:top w:w="0" w:type="dxa"/>
            <w:bottom w:w="0" w:type="dxa"/>
          </w:tblCellMar>
        </w:tblPrEx>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Trực tuyến</w:t>
            </w:r>
          </w:p>
        </w:tc>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30 Ngày</w:t>
            </w:r>
          </w:p>
        </w:tc>
        <w:tc>
          <w:tcPr>
            <w:tcW w:w="0" w:type="auto"/>
          </w:tcPr>
          <w:p w:rsidR="00A53F7E" w:rsidRDefault="00A53F7E"/>
          <w:p w:rsidR="00A53F7E" w:rsidRDefault="00A53F7E">
            <w:pPr>
              <w:spacing w:after="0" w:line="276" w:lineRule="auto"/>
            </w:pPr>
          </w:p>
        </w:tc>
        <w:tc>
          <w:tcPr>
            <w:tcW w:w="0" w:type="auto"/>
          </w:tcPr>
          <w:p w:rsidR="00A53F7E" w:rsidRDefault="00A53F7E"/>
        </w:tc>
      </w:tr>
      <w:tr w:rsidR="00A53F7E">
        <w:tblPrEx>
          <w:tblCellMar>
            <w:top w:w="0" w:type="dxa"/>
            <w:bottom w:w="0" w:type="dxa"/>
          </w:tblCellMar>
        </w:tblPrEx>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Dịch vụ bưu chính</w:t>
            </w:r>
          </w:p>
        </w:tc>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30 Ngày</w:t>
            </w:r>
          </w:p>
        </w:tc>
        <w:tc>
          <w:tcPr>
            <w:tcW w:w="0" w:type="auto"/>
          </w:tcPr>
          <w:p w:rsidR="00A53F7E" w:rsidRDefault="00A53F7E"/>
          <w:p w:rsidR="00A53F7E" w:rsidRDefault="00A53F7E">
            <w:pPr>
              <w:spacing w:after="0" w:line="276" w:lineRule="auto"/>
            </w:pPr>
          </w:p>
        </w:tc>
        <w:tc>
          <w:tcPr>
            <w:tcW w:w="0" w:type="auto"/>
          </w:tcPr>
          <w:p w:rsidR="00A53F7E" w:rsidRDefault="00A53F7E"/>
        </w:tc>
      </w:tr>
    </w:tbl>
    <w:p w:rsidR="00A53F7E" w:rsidRDefault="00974AB3">
      <w:pPr>
        <w:spacing w:before="240" w:after="0" w:line="276" w:lineRule="auto"/>
        <w:jc w:val="both"/>
      </w:pPr>
      <w:r>
        <w:rPr>
          <w:rFonts w:ascii="Times New Roman" w:eastAsia="Times New Roman" w:hAnsi="Times New Roman" w:cs="Times New Roman"/>
          <w:b/>
          <w:sz w:val="26"/>
        </w:rPr>
        <w:t xml:space="preserve">Thành phần hồ sơ: </w:t>
      </w:r>
    </w:p>
    <w:p w:rsidR="00A53F7E" w:rsidRDefault="00974AB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05"/>
        <w:gridCol w:w="1165"/>
        <w:gridCol w:w="941"/>
      </w:tblGrid>
      <w:tr w:rsidR="00A53F7E">
        <w:tblPrEx>
          <w:tblCellMar>
            <w:top w:w="0" w:type="dxa"/>
            <w:bottom w:w="0" w:type="dxa"/>
          </w:tblCellMar>
        </w:tblPrEx>
        <w:tc>
          <w:tcPr>
            <w:tcW w:w="6000" w:type="dxa"/>
          </w:tcPr>
          <w:p w:rsidR="00A53F7E" w:rsidRDefault="00A53F7E"/>
          <w:p w:rsidR="00A53F7E" w:rsidRDefault="00974AB3">
            <w:pPr>
              <w:spacing w:after="0" w:line="276" w:lineRule="auto"/>
              <w:jc w:val="center"/>
            </w:pPr>
            <w:r>
              <w:rPr>
                <w:rFonts w:ascii="Times New Roman" w:eastAsia="Times New Roman" w:hAnsi="Times New Roman" w:cs="Times New Roman"/>
                <w:b/>
                <w:sz w:val="26"/>
              </w:rPr>
              <w:t>Tên giấy tờ</w:t>
            </w:r>
          </w:p>
        </w:tc>
        <w:tc>
          <w:tcPr>
            <w:tcW w:w="2000" w:type="dxa"/>
          </w:tcPr>
          <w:p w:rsidR="00A53F7E" w:rsidRDefault="00A53F7E"/>
          <w:p w:rsidR="00A53F7E" w:rsidRDefault="00974AB3">
            <w:pPr>
              <w:spacing w:after="0" w:line="276" w:lineRule="auto"/>
              <w:jc w:val="center"/>
            </w:pPr>
            <w:r>
              <w:rPr>
                <w:rFonts w:ascii="Times New Roman" w:eastAsia="Times New Roman" w:hAnsi="Times New Roman" w:cs="Times New Roman"/>
                <w:b/>
                <w:sz w:val="26"/>
              </w:rPr>
              <w:t>Mẫu đơn, tờ khai</w:t>
            </w:r>
          </w:p>
        </w:tc>
        <w:tc>
          <w:tcPr>
            <w:tcW w:w="2000" w:type="dxa"/>
          </w:tcPr>
          <w:p w:rsidR="00A53F7E" w:rsidRDefault="00A53F7E"/>
          <w:p w:rsidR="00A53F7E" w:rsidRDefault="00974AB3">
            <w:pPr>
              <w:spacing w:after="0" w:line="276" w:lineRule="auto"/>
              <w:jc w:val="center"/>
            </w:pPr>
            <w:r>
              <w:rPr>
                <w:rFonts w:ascii="Times New Roman" w:eastAsia="Times New Roman" w:hAnsi="Times New Roman" w:cs="Times New Roman"/>
                <w:b/>
                <w:sz w:val="26"/>
              </w:rPr>
              <w:t>Số lượng</w:t>
            </w:r>
          </w:p>
        </w:tc>
      </w:tr>
      <w:tr w:rsidR="00A53F7E">
        <w:tblPrEx>
          <w:tblCellMar>
            <w:top w:w="0" w:type="dxa"/>
            <w:bottom w:w="0" w:type="dxa"/>
          </w:tblCellMar>
        </w:tblPrEx>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Đơn đề nghị nhượng lại nguyên liệu làm thuốc là dược chất gây nghiện, dược chất hướng thần, tiền chất dùng làm thuốc của cơ sở nhượng kèm theo kế hoạch sử dụng nguyên liệu của cơ sở nhận chuyển nhượng Mẫu số 14 tại Phụ lục II ban hành kèm theo Nghị định số 163/2025/NĐ-CP</w:t>
            </w:r>
          </w:p>
        </w:tc>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Mu.docx</w:t>
            </w:r>
          </w:p>
        </w:tc>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53F7E">
        <w:tblPrEx>
          <w:tblCellMar>
            <w:top w:w="0" w:type="dxa"/>
            <w:bottom w:w="0" w:type="dxa"/>
          </w:tblCellMar>
        </w:tblPrEx>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Đơn hàng nhượng lại nguyên liệu làm thuốc là dược chất gây nghiện, dược chất hướng thần, tiền chất dùng làm thuốc Mẫu số 12 tại Phụ lục II ban hành kèm theo Nghị định số 163/2025/NĐ-CP</w:t>
            </w:r>
          </w:p>
        </w:tc>
        <w:tc>
          <w:tcPr>
            <w:tcW w:w="0" w:type="auto"/>
          </w:tcPr>
          <w:p w:rsidR="00A53F7E" w:rsidRDefault="00A53F7E"/>
        </w:tc>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53F7E">
        <w:tblPrEx>
          <w:tblCellMar>
            <w:top w:w="0" w:type="dxa"/>
            <w:bottom w:w="0" w:type="dxa"/>
          </w:tblCellMar>
        </w:tblPrEx>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Báo cáo sử dụng nguyên liệu làm thuốc Mẫu số 05 tại Phụ lục II ban hành kèm theo Nghị định số 163/2025/NĐ-CP</w:t>
            </w:r>
          </w:p>
        </w:tc>
        <w:tc>
          <w:tcPr>
            <w:tcW w:w="0" w:type="auto"/>
          </w:tcPr>
          <w:p w:rsidR="00A53F7E" w:rsidRDefault="00A53F7E"/>
        </w:tc>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53F7E">
        <w:tblPrEx>
          <w:tblCellMar>
            <w:top w:w="0" w:type="dxa"/>
            <w:bottom w:w="0" w:type="dxa"/>
          </w:tblCellMar>
        </w:tblPrEx>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Báo cáo xuất - nhập - tồn nguyên liệu Mẫu số 13 tại Phụ lục II ban hành kèm theo Nghị định số 163/2025/NĐ-CP</w:t>
            </w:r>
          </w:p>
        </w:tc>
        <w:tc>
          <w:tcPr>
            <w:tcW w:w="0" w:type="auto"/>
          </w:tcPr>
          <w:p w:rsidR="00A53F7E" w:rsidRDefault="00A53F7E"/>
        </w:tc>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A53F7E" w:rsidRDefault="00974AB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 Tổ chức nước ngoài, Hợp tác xã</w:t>
      </w:r>
    </w:p>
    <w:p w:rsidR="00A53F7E" w:rsidRDefault="00974AB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rsidR="00A53F7E" w:rsidRDefault="00974AB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A53F7E" w:rsidRDefault="00974AB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A53F7E" w:rsidRDefault="00974AB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A53F7E" w:rsidRDefault="00974AB3">
      <w:pPr>
        <w:spacing w:after="0" w:line="276" w:lineRule="auto"/>
        <w:jc w:val="both"/>
      </w:pPr>
      <w:r>
        <w:rPr>
          <w:rFonts w:ascii="Times New Roman" w:eastAsia="Times New Roman" w:hAnsi="Times New Roman" w:cs="Times New Roman"/>
          <w:b/>
          <w:sz w:val="26"/>
        </w:rPr>
        <w:lastRenderedPageBreak/>
        <w:t xml:space="preserve">Cơ quan phối hợp: </w:t>
      </w:r>
      <w:r>
        <w:rPr>
          <w:rFonts w:ascii="Times New Roman" w:eastAsia="Times New Roman" w:hAnsi="Times New Roman" w:cs="Times New Roman"/>
          <w:sz w:val="26"/>
        </w:rPr>
        <w:t>Không có thông tin</w:t>
      </w:r>
    </w:p>
    <w:p w:rsidR="00A53F7E" w:rsidRDefault="00974AB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thông báo kết quả giải quyết hồ sơ, Văn bản cho phép nhượng lại nguyên liệu</w:t>
      </w:r>
    </w:p>
    <w:p w:rsidR="00A53F7E" w:rsidRDefault="00974AB3">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51"/>
        <w:gridCol w:w="6015"/>
        <w:gridCol w:w="728"/>
        <w:gridCol w:w="931"/>
      </w:tblGrid>
      <w:tr w:rsidR="00A53F7E">
        <w:tblPrEx>
          <w:tblCellMar>
            <w:top w:w="0" w:type="dxa"/>
            <w:bottom w:w="0" w:type="dxa"/>
          </w:tblCellMar>
        </w:tblPrEx>
        <w:tc>
          <w:tcPr>
            <w:tcW w:w="2000" w:type="dxa"/>
          </w:tcPr>
          <w:p w:rsidR="00A53F7E" w:rsidRDefault="00A53F7E"/>
          <w:p w:rsidR="00A53F7E" w:rsidRDefault="00974AB3">
            <w:pPr>
              <w:spacing w:after="0" w:line="276" w:lineRule="auto"/>
              <w:jc w:val="center"/>
            </w:pPr>
            <w:r>
              <w:rPr>
                <w:rFonts w:ascii="Times New Roman" w:eastAsia="Times New Roman" w:hAnsi="Times New Roman" w:cs="Times New Roman"/>
                <w:b/>
                <w:sz w:val="26"/>
              </w:rPr>
              <w:t>Số ký hiệu</w:t>
            </w:r>
          </w:p>
        </w:tc>
        <w:tc>
          <w:tcPr>
            <w:tcW w:w="3500" w:type="dxa"/>
          </w:tcPr>
          <w:p w:rsidR="00A53F7E" w:rsidRDefault="00A53F7E"/>
          <w:p w:rsidR="00A53F7E" w:rsidRDefault="00974AB3">
            <w:pPr>
              <w:spacing w:after="0" w:line="276" w:lineRule="auto"/>
              <w:jc w:val="center"/>
            </w:pPr>
            <w:r>
              <w:rPr>
                <w:rFonts w:ascii="Times New Roman" w:eastAsia="Times New Roman" w:hAnsi="Times New Roman" w:cs="Times New Roman"/>
                <w:b/>
                <w:sz w:val="26"/>
              </w:rPr>
              <w:t>Trích yếu</w:t>
            </w:r>
          </w:p>
        </w:tc>
        <w:tc>
          <w:tcPr>
            <w:tcW w:w="1500" w:type="dxa"/>
          </w:tcPr>
          <w:p w:rsidR="00A53F7E" w:rsidRDefault="00A53F7E"/>
          <w:p w:rsidR="00A53F7E" w:rsidRDefault="00974AB3">
            <w:pPr>
              <w:spacing w:after="0" w:line="276" w:lineRule="auto"/>
              <w:jc w:val="center"/>
            </w:pPr>
            <w:r>
              <w:rPr>
                <w:rFonts w:ascii="Times New Roman" w:eastAsia="Times New Roman" w:hAnsi="Times New Roman" w:cs="Times New Roman"/>
                <w:b/>
                <w:sz w:val="26"/>
              </w:rPr>
              <w:t>Ngày ban hành</w:t>
            </w:r>
          </w:p>
        </w:tc>
        <w:tc>
          <w:tcPr>
            <w:tcW w:w="3000" w:type="dxa"/>
          </w:tcPr>
          <w:p w:rsidR="00A53F7E" w:rsidRDefault="00A53F7E"/>
          <w:p w:rsidR="00A53F7E" w:rsidRDefault="00974AB3">
            <w:pPr>
              <w:spacing w:after="0" w:line="276" w:lineRule="auto"/>
              <w:jc w:val="center"/>
            </w:pPr>
            <w:r>
              <w:rPr>
                <w:rFonts w:ascii="Times New Roman" w:eastAsia="Times New Roman" w:hAnsi="Times New Roman" w:cs="Times New Roman"/>
                <w:b/>
                <w:sz w:val="26"/>
              </w:rPr>
              <w:t>Cơ quan ban hành</w:t>
            </w:r>
          </w:p>
        </w:tc>
      </w:tr>
      <w:tr w:rsidR="00A53F7E">
        <w:tblPrEx>
          <w:tblCellMar>
            <w:top w:w="0" w:type="dxa"/>
            <w:bottom w:w="0" w:type="dxa"/>
          </w:tblCellMar>
        </w:tblPrEx>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105/2016/QH13</w:t>
            </w:r>
          </w:p>
        </w:tc>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06-04-2016</w:t>
            </w:r>
          </w:p>
        </w:tc>
        <w:tc>
          <w:tcPr>
            <w:tcW w:w="0" w:type="auto"/>
          </w:tcPr>
          <w:p w:rsidR="00A53F7E" w:rsidRDefault="00A53F7E"/>
        </w:tc>
      </w:tr>
      <w:tr w:rsidR="00A53F7E">
        <w:tblPrEx>
          <w:tblCellMar>
            <w:top w:w="0" w:type="dxa"/>
            <w:bottom w:w="0" w:type="dxa"/>
          </w:tblCellMar>
        </w:tblPrEx>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44/2024/QH15</w:t>
            </w:r>
          </w:p>
        </w:tc>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21-11-2024</w:t>
            </w:r>
          </w:p>
        </w:tc>
        <w:tc>
          <w:tcPr>
            <w:tcW w:w="0" w:type="auto"/>
          </w:tcPr>
          <w:p w:rsidR="00A53F7E" w:rsidRDefault="00A53F7E"/>
        </w:tc>
      </w:tr>
      <w:tr w:rsidR="00A53F7E">
        <w:tblPrEx>
          <w:tblCellMar>
            <w:top w:w="0" w:type="dxa"/>
            <w:bottom w:w="0" w:type="dxa"/>
          </w:tblCellMar>
        </w:tblPrEx>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163/2025/NĐ-CP</w:t>
            </w:r>
          </w:p>
        </w:tc>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29-06-2025</w:t>
            </w:r>
          </w:p>
        </w:tc>
        <w:tc>
          <w:tcPr>
            <w:tcW w:w="0" w:type="auto"/>
          </w:tcPr>
          <w:p w:rsidR="00A53F7E" w:rsidRDefault="00A53F7E"/>
        </w:tc>
      </w:tr>
      <w:tr w:rsidR="00A53F7E">
        <w:tblPrEx>
          <w:tblCellMar>
            <w:top w:w="0" w:type="dxa"/>
            <w:bottom w:w="0" w:type="dxa"/>
          </w:tblCellMar>
        </w:tblPrEx>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20/2017/TT-BYT</w:t>
            </w:r>
          </w:p>
        </w:tc>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Thông tư của Bộ trưởng Bộ Y tế quy định chi tiết một số điều của Luật Dược và Nghị định số 54/2017/NĐ-CP ngày 08 tháng 5 năm 2017 của Chính phủ về thuốc và nguyên liệu làm thuốc phải kiểm soát đặc biệt, được sửa đổi, bổ sung bởi Thông tư số 27/TT-BYT ngày 01 tháng 11 năm 2024 của Bộ trưởng Bộ Y tế</w:t>
            </w:r>
          </w:p>
        </w:tc>
        <w:tc>
          <w:tcPr>
            <w:tcW w:w="0" w:type="auto"/>
          </w:tcPr>
          <w:p w:rsidR="00A53F7E" w:rsidRDefault="00A53F7E"/>
          <w:p w:rsidR="00A53F7E" w:rsidRDefault="00974AB3">
            <w:pPr>
              <w:spacing w:after="0" w:line="276" w:lineRule="auto"/>
            </w:pPr>
            <w:r>
              <w:rPr>
                <w:rFonts w:ascii="Times New Roman" w:eastAsia="Times New Roman" w:hAnsi="Times New Roman" w:cs="Times New Roman"/>
                <w:sz w:val="26"/>
              </w:rPr>
              <w:t>10-05-2017</w:t>
            </w:r>
          </w:p>
        </w:tc>
        <w:tc>
          <w:tcPr>
            <w:tcW w:w="0" w:type="auto"/>
          </w:tcPr>
          <w:p w:rsidR="00A53F7E" w:rsidRDefault="00A53F7E"/>
        </w:tc>
      </w:tr>
    </w:tbl>
    <w:p w:rsidR="00A53F7E" w:rsidRDefault="00974AB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 Cơ sở nhượng nguyên liệu là cơ sở có Giấy chứng nhận đủ điều kiện kinh doanh phạm vi sản xuất thuốc gây nghiện, thuốc hướng thần, thuốc tiền chất, thuốc dạng phối hợp có chứa dược chất gây nghiện, thuốc dạng phối hợp có chứa dược chất hướng thần, thuốc dạng phối hợp có chứa tiền chất không sử dụng hết nguyên liệu làm thuốc là dược chất gây nghiện, dược chất hướng thần, tiền chất dùng làm thuốc. - Cơ sở nhận nguyên liệu là cơ sở có Giấy chứng nhận đủ điều kiện kinh doanh phạm vi sản xuất thuốc gây nghiện, </w:t>
      </w:r>
      <w:r>
        <w:rPr>
          <w:rFonts w:ascii="Times New Roman" w:eastAsia="Times New Roman" w:hAnsi="Times New Roman" w:cs="Times New Roman"/>
          <w:sz w:val="26"/>
        </w:rPr>
        <w:t>thuốc hướng thần, thuốc tiền chất, thuốc dạng phối hợp có chứa dược chất gây nghiện, thuốc dạng phối hợp có chứa dược chất hướng thần, thuốc dạng phối hợp có chứa tiền chất có nhu cầu sử dụng nguyên liệu làm thuốc là dược chất gây nghiện, dược chất hướng thần, tiền chất dùng làm thuốc.</w:t>
      </w:r>
    </w:p>
    <w:p w:rsidR="00A53F7E" w:rsidRDefault="00974AB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A53F7E" w:rsidRDefault="00974AB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https://thutuc.dichvucong.gov.vn/p/home/dvc-tthc-thu-tuc-hanh-chinh-chi-tiet.html?ma_thu_tuc=406903</w:t>
      </w:r>
    </w:p>
    <w:sectPr w:rsidR="00A53F7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53F7E"/>
    <w:rsid w:val="001A6ECD"/>
    <w:rsid w:val="00974AB3"/>
    <w:rsid w:val="00A53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5A503C-0424-4804-AEFD-5DD21808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728</Words>
  <Characters>4150</Characters>
  <Application>Microsoft Office Word</Application>
  <DocSecurity>0</DocSecurity>
  <Lines>34</Lines>
  <Paragraphs>9</Paragraphs>
  <ScaleCrop>false</ScaleCrop>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2025-12-02T12:25:00Z</dcterms:created>
  <dcterms:modified xsi:type="dcterms:W3CDTF">2025-12-02T12:25:00Z</dcterms:modified>
</cp:coreProperties>
</file>