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F91" w:rsidRDefault="006818BB">
      <w:pPr>
        <w:spacing w:after="300" w:line="276" w:lineRule="auto"/>
        <w:jc w:val="center"/>
      </w:pPr>
      <w:r>
        <w:rPr>
          <w:rFonts w:ascii="Times New Roman" w:eastAsia="Times New Roman" w:hAnsi="Times New Roman" w:cs="Times New Roman"/>
          <w:b/>
          <w:sz w:val="26"/>
        </w:rPr>
        <w:t>Chi tiết thủ tục hành chính</w:t>
      </w:r>
    </w:p>
    <w:p w:rsidR="00200F91" w:rsidRDefault="006818B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1.014085</w:t>
      </w:r>
    </w:p>
    <w:p w:rsidR="00200F91" w:rsidRDefault="006818B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200F91" w:rsidRDefault="006818B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chỉ hành nghề dược theo hình thức thi trong trường hợp Chứng chỉ hành nghề dược bị ghi sai do lỗi của cơ quan cấp Chứng chỉ hành nghề dược</w:t>
      </w:r>
    </w:p>
    <w:p w:rsidR="00200F91" w:rsidRDefault="006818B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00F91" w:rsidRDefault="006818B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00F91" w:rsidRDefault="006818B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200F91" w:rsidRDefault="006818BB">
      <w:pPr>
        <w:spacing w:after="0" w:line="276" w:lineRule="auto"/>
        <w:jc w:val="both"/>
      </w:pPr>
      <w:r>
        <w:rPr>
          <w:rFonts w:ascii="Times New Roman" w:eastAsia="Times New Roman" w:hAnsi="Times New Roman" w:cs="Times New Roman"/>
          <w:b/>
          <w:sz w:val="26"/>
        </w:rPr>
        <w:t xml:space="preserve">Trình tự thực hiện: </w:t>
      </w:r>
    </w:p>
    <w:p w:rsidR="00200F91" w:rsidRDefault="00200F91">
      <w:pPr>
        <w:shd w:val="clear" w:color="auto" w:fill="F2F6F9"/>
        <w:spacing w:before="120" w:after="0" w:line="276" w:lineRule="auto"/>
        <w:jc w:val="both"/>
      </w:pPr>
    </w:p>
    <w:p w:rsidR="00200F91" w:rsidRDefault="006818BB">
      <w:pPr>
        <w:spacing w:after="0" w:line="276" w:lineRule="auto"/>
        <w:jc w:val="both"/>
      </w:pPr>
      <w:r>
        <w:rPr>
          <w:rFonts w:ascii="Times New Roman" w:eastAsia="Times New Roman" w:hAnsi="Times New Roman" w:cs="Times New Roman"/>
          <w:sz w:val="26"/>
        </w:rPr>
        <w:t xml:space="preserve">Bước 1: Người đề nghị cấp Chứng chỉ hành nghề dược gửi hồ sơ về Bộ Y tế, cụ thể: - Cục Quản lý Y Dược cổ truyền đối với cá nhân chỉ đề nghị cấp Chứng chỉ hành nghề dược phạm vi kinh doanh dược liệu, thuốc cổ truyền; - Cục Khoa học công nghệ và Đào tạo đối với cá nhân chỉ đề nghị cấp Chứng chỉ hành nghề dược phạm vi kinh doanh dịch vụ thử thuốc trên lâm sàng, thử tương đương sinh học; - Cục Quản lý Dược đối với các trường hợp còn lại quy định tại Điều 11 Luật Dược. Bước 2: Sau khi nhận hồ sơ đầy đủ, cơ quan </w:t>
      </w:r>
      <w:r>
        <w:rPr>
          <w:rFonts w:ascii="Times New Roman" w:eastAsia="Times New Roman" w:hAnsi="Times New Roman" w:cs="Times New Roman"/>
          <w:sz w:val="26"/>
        </w:rPr>
        <w:t>tiếp nhận hồ sơ trả cho người đề nghị cấp Chứng chỉ hành nghề dược Phiếu tiếp nhận hồ sơ theo Mẫu số 01 Phụ lục I của Nghị định số 163/2025/NĐ-CP; Bước 3:  a) Trường hợp không có yêu cầu sửa đổi, bổ sung hồ sơ, Bộ Y tế cấp Chứng chỉ hành nghề dược cho người đề nghị trong thời hạn 05 ngày làm việc kể từ ngày ghi trên Phiếu tiếp nhận hồ sơ mà không phải tổ chức thi. b) Trường hợp có yêu cầu sửa đổi, bổ sung hồ sơ, Bộ Y tế có văn bản thông báo nội dung yêu cầu sửa đổi, bổ sung theo Mẫu số 16 tại Phụ lục I  ban</w:t>
      </w:r>
      <w:r>
        <w:rPr>
          <w:rFonts w:ascii="Times New Roman" w:eastAsia="Times New Roman" w:hAnsi="Times New Roman" w:cs="Times New Roman"/>
          <w:sz w:val="26"/>
        </w:rPr>
        <w:t xml:space="preserve"> hành kèm theo Nghị định số 163/2025/NĐ-CP gửi cho người đề nghị trong thời hạn 07 ngày làm việc kể từ ngày ghi trên Phiếu tiếp nhận hồ sơ. Bước 4:  Sau khi nhận hồ sơ sửa đổi, bổ sung, Bộ Y tế trả cho người đề nghị Phiếu tiếp nhận hồ sơ sửa đổi, bổ sung theo Mẫu số 01 tại Phụ lục I ban hành kèm theo Nghị định số 163/2025/NĐ-CP. a) Trường hợp hồ sơ sửa đổi, bổ sung không đáp ứng yêu cầu, trong thời hạn 07 ngày làm việc kể từ ngày ghi trên Phiếu tiếp nhận hồ sơ sửa đổi, bổ sung, Bộ Y tế có văn bản thông báo </w:t>
      </w:r>
      <w:r>
        <w:rPr>
          <w:rFonts w:ascii="Times New Roman" w:eastAsia="Times New Roman" w:hAnsi="Times New Roman" w:cs="Times New Roman"/>
          <w:sz w:val="26"/>
        </w:rPr>
        <w:t>cho người đề nghị theo Mẫu số 16 tại Phụ lục I ban hành kèm theo Nghị định số 163/2025/NĐ-CP về việc không cấp Chứng chỉ hành nghề dược; b) Trường hợp không có yêu cầu sửa đổi, bổ sung đối với hồ sơ sửa đổi, bổ sung, Bộ Y tế thực hiện theo quy định tại Bước 3. c) Trong thời hạn 06 tháng kể từ ngày Bộ Y tế có văn bản thông báo sửa đổi, bổ sung, người đề nghị cấp Chứng chỉ hành nghề dược phải nộp hồ sơ sửa đổi, bổ sung theo yêu cầu. Sau thời hạn trên, người đề nghị không nộp hồ sơ sửa đổi, bổ sung thì hồ sơ đ</w:t>
      </w:r>
      <w:r>
        <w:rPr>
          <w:rFonts w:ascii="Times New Roman" w:eastAsia="Times New Roman" w:hAnsi="Times New Roman" w:cs="Times New Roman"/>
          <w:sz w:val="26"/>
        </w:rPr>
        <w:t xml:space="preserve">ã nộp không còn giá trị. Bước 5: Trong thời hạn 03 ngày làm việc kể từ ngày cấp Chứng chỉ hành nghề dược, Bộ Y tế công bố, cập nhật trên Cổng thông tin điện tử của Bộ Y tế các thông tin sau: a) Họ, tên, ngày tháng năm sinh của người được cấp Chứng chỉ hành </w:t>
      </w:r>
      <w:r>
        <w:rPr>
          <w:rFonts w:ascii="Times New Roman" w:eastAsia="Times New Roman" w:hAnsi="Times New Roman" w:cs="Times New Roman"/>
          <w:sz w:val="26"/>
        </w:rPr>
        <w:lastRenderedPageBreak/>
        <w:t>nghề dược; b) Số Chứng chỉ hành nghề dược của người được cấp Chứng chỉ hành nghề dược; c) Phạm vi hoạt động chuyên môn được cấp trên Chứng chỉ hành nghề dược.</w:t>
      </w:r>
    </w:p>
    <w:p w:rsidR="00200F91" w:rsidRDefault="006818B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200F91">
        <w:tblPrEx>
          <w:tblCellMar>
            <w:top w:w="0" w:type="dxa"/>
            <w:bottom w:w="0" w:type="dxa"/>
          </w:tblCellMar>
        </w:tblPrEx>
        <w:tc>
          <w:tcPr>
            <w:tcW w:w="15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Hình thức nộp</w:t>
            </w:r>
          </w:p>
        </w:tc>
        <w:tc>
          <w:tcPr>
            <w:tcW w:w="2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Phí, lệ phí</w:t>
            </w:r>
          </w:p>
        </w:tc>
        <w:tc>
          <w:tcPr>
            <w:tcW w:w="3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Mô tả</w:t>
            </w:r>
          </w:p>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Trực tiếp</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5 Ngày làm việc</w:t>
            </w:r>
          </w:p>
        </w:tc>
        <w:tc>
          <w:tcPr>
            <w:tcW w:w="0" w:type="auto"/>
          </w:tcPr>
          <w:p w:rsidR="00200F91" w:rsidRDefault="00200F91"/>
          <w:p w:rsidR="00200F91" w:rsidRDefault="00200F91">
            <w:pPr>
              <w:spacing w:after="0" w:line="276" w:lineRule="auto"/>
            </w:pPr>
          </w:p>
        </w:tc>
        <w:tc>
          <w:tcPr>
            <w:tcW w:w="0" w:type="auto"/>
          </w:tcPr>
          <w:p w:rsidR="00200F91" w:rsidRDefault="00200F91"/>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Trực tuyến</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5 Ngày làm việc</w:t>
            </w:r>
          </w:p>
        </w:tc>
        <w:tc>
          <w:tcPr>
            <w:tcW w:w="0" w:type="auto"/>
          </w:tcPr>
          <w:p w:rsidR="00200F91" w:rsidRDefault="00200F91"/>
          <w:p w:rsidR="00200F91" w:rsidRDefault="00200F91">
            <w:pPr>
              <w:spacing w:after="0" w:line="276" w:lineRule="auto"/>
            </w:pPr>
          </w:p>
        </w:tc>
        <w:tc>
          <w:tcPr>
            <w:tcW w:w="0" w:type="auto"/>
          </w:tcPr>
          <w:p w:rsidR="00200F91" w:rsidRDefault="00200F91"/>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Dịch vụ bưu chính</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5 Ngày làm việc</w:t>
            </w:r>
          </w:p>
        </w:tc>
        <w:tc>
          <w:tcPr>
            <w:tcW w:w="0" w:type="auto"/>
          </w:tcPr>
          <w:p w:rsidR="00200F91" w:rsidRDefault="00200F91"/>
          <w:p w:rsidR="00200F91" w:rsidRDefault="00200F91">
            <w:pPr>
              <w:spacing w:after="0" w:line="276" w:lineRule="auto"/>
            </w:pPr>
          </w:p>
        </w:tc>
        <w:tc>
          <w:tcPr>
            <w:tcW w:w="0" w:type="auto"/>
          </w:tcPr>
          <w:p w:rsidR="00200F91" w:rsidRDefault="00200F91"/>
        </w:tc>
      </w:tr>
    </w:tbl>
    <w:p w:rsidR="00200F91" w:rsidRDefault="006818BB">
      <w:pPr>
        <w:spacing w:before="240" w:after="0" w:line="276" w:lineRule="auto"/>
        <w:jc w:val="both"/>
      </w:pPr>
      <w:r>
        <w:rPr>
          <w:rFonts w:ascii="Times New Roman" w:eastAsia="Times New Roman" w:hAnsi="Times New Roman" w:cs="Times New Roman"/>
          <w:b/>
          <w:sz w:val="26"/>
        </w:rPr>
        <w:t xml:space="preserve">Thành phần hồ sơ: </w:t>
      </w:r>
    </w:p>
    <w:p w:rsidR="00200F91" w:rsidRDefault="006818B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73"/>
        <w:gridCol w:w="1362"/>
        <w:gridCol w:w="1076"/>
      </w:tblGrid>
      <w:tr w:rsidR="00200F91">
        <w:tblPrEx>
          <w:tblCellMar>
            <w:top w:w="0" w:type="dxa"/>
            <w:bottom w:w="0" w:type="dxa"/>
          </w:tblCellMar>
        </w:tblPrEx>
        <w:tc>
          <w:tcPr>
            <w:tcW w:w="6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Tên giấy tờ</w:t>
            </w:r>
          </w:p>
        </w:tc>
        <w:tc>
          <w:tcPr>
            <w:tcW w:w="2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Mẫu đơn, tờ khai</w:t>
            </w:r>
          </w:p>
        </w:tc>
        <w:tc>
          <w:tcPr>
            <w:tcW w:w="2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t>Số lượng</w:t>
            </w:r>
          </w:p>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Đơn đề nghị cấp Chứng chỉ hành nghề dược, có ảnh chân dung của người đề nghị được chụp trong thời gian không quá 06 tháng. Mẫu số 02 Phụ lục I của Nghị định số 163/2025/NĐ-CP</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Mu2.docx</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00F91" w:rsidRDefault="006818B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200F91" w:rsidRDefault="006818B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200F91" w:rsidRDefault="006818B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00F91" w:rsidRDefault="006818B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00F91" w:rsidRDefault="006818B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00F91" w:rsidRDefault="006818B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00F91" w:rsidRDefault="006818B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hành nghề dược</w:t>
      </w:r>
    </w:p>
    <w:p w:rsidR="00200F91" w:rsidRDefault="006818B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6"/>
        <w:gridCol w:w="4945"/>
        <w:gridCol w:w="992"/>
        <w:gridCol w:w="1638"/>
      </w:tblGrid>
      <w:tr w:rsidR="00200F91">
        <w:tblPrEx>
          <w:tblCellMar>
            <w:top w:w="0" w:type="dxa"/>
            <w:bottom w:w="0" w:type="dxa"/>
          </w:tblCellMar>
        </w:tblPrEx>
        <w:tc>
          <w:tcPr>
            <w:tcW w:w="2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200F91" w:rsidRDefault="00200F91"/>
          <w:p w:rsidR="00200F91" w:rsidRDefault="006818BB">
            <w:pPr>
              <w:spacing w:after="0" w:line="276" w:lineRule="auto"/>
              <w:jc w:val="center"/>
            </w:pPr>
            <w:r>
              <w:rPr>
                <w:rFonts w:ascii="Times New Roman" w:eastAsia="Times New Roman" w:hAnsi="Times New Roman" w:cs="Times New Roman"/>
                <w:b/>
                <w:sz w:val="26"/>
              </w:rPr>
              <w:lastRenderedPageBreak/>
              <w:t>Cơ quan ban hành</w:t>
            </w:r>
          </w:p>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105/2016/QH13</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06-04-2016</w:t>
            </w:r>
          </w:p>
        </w:tc>
        <w:tc>
          <w:tcPr>
            <w:tcW w:w="0" w:type="auto"/>
          </w:tcPr>
          <w:p w:rsidR="00200F91" w:rsidRDefault="00200F91"/>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44/2024/QH15</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21-11-2024</w:t>
            </w:r>
          </w:p>
        </w:tc>
        <w:tc>
          <w:tcPr>
            <w:tcW w:w="0" w:type="auto"/>
          </w:tcPr>
          <w:p w:rsidR="00200F91" w:rsidRDefault="00200F91"/>
        </w:tc>
      </w:tr>
      <w:tr w:rsidR="00200F91">
        <w:tblPrEx>
          <w:tblCellMar>
            <w:top w:w="0" w:type="dxa"/>
            <w:bottom w:w="0" w:type="dxa"/>
          </w:tblCellMar>
        </w:tblPrEx>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163/2025/NĐ-CP</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200F91" w:rsidRDefault="00200F91"/>
          <w:p w:rsidR="00200F91" w:rsidRDefault="006818BB">
            <w:pPr>
              <w:spacing w:after="0" w:line="276" w:lineRule="auto"/>
            </w:pPr>
            <w:r>
              <w:rPr>
                <w:rFonts w:ascii="Times New Roman" w:eastAsia="Times New Roman" w:hAnsi="Times New Roman" w:cs="Times New Roman"/>
                <w:sz w:val="26"/>
              </w:rPr>
              <w:t>29-06-2025</w:t>
            </w:r>
          </w:p>
        </w:tc>
        <w:tc>
          <w:tcPr>
            <w:tcW w:w="0" w:type="auto"/>
          </w:tcPr>
          <w:p w:rsidR="00200F91" w:rsidRDefault="00200F91"/>
        </w:tc>
      </w:tr>
    </w:tbl>
    <w:p w:rsidR="00200F91" w:rsidRDefault="006818B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Chứng chỉ hành nghề dược đã được cấp bị ghi sai do lỗi của cơ quan cấp</w:t>
      </w:r>
    </w:p>
    <w:p w:rsidR="00200F91" w:rsidRDefault="006818B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00F91" w:rsidRDefault="006818B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https://thutuc.dichvucong.gov.vn/p/home/dvc-tthc-thu-tuc-hanh-chinh-chi-tiet.html?ma_thu_tuc=406910</w:t>
      </w:r>
    </w:p>
    <w:sectPr w:rsidR="00200F9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00F91"/>
    <w:rsid w:val="00200F91"/>
    <w:rsid w:val="002E646D"/>
    <w:rsid w:val="00681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3CB39-1EA0-4FFB-A659-D5AEDA91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