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725" w:rsidRDefault="004420F7">
      <w:pPr>
        <w:spacing w:after="300" w:line="276" w:lineRule="auto"/>
        <w:jc w:val="center"/>
      </w:pPr>
      <w:r>
        <w:rPr>
          <w:rFonts w:ascii="Times New Roman" w:eastAsia="Times New Roman" w:hAnsi="Times New Roman" w:cs="Times New Roman"/>
          <w:b/>
          <w:sz w:val="26"/>
        </w:rPr>
        <w:t>Chi tiết thủ tục hành chính</w:t>
      </w:r>
    </w:p>
    <w:p w:rsidR="00E46725" w:rsidRDefault="004420F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1.014086</w:t>
      </w:r>
    </w:p>
    <w:p w:rsidR="00E46725" w:rsidRDefault="004420F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E46725" w:rsidRDefault="004420F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Cấp phép nhập khẩu thuốc chưa có Giấy đăng ký lưu hành thuốc tại Việt Nam để viện trợ, viện trợ nhân  đạo</w:t>
      </w:r>
    </w:p>
    <w:p w:rsidR="00E46725" w:rsidRDefault="004420F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46725" w:rsidRDefault="004420F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46725" w:rsidRDefault="004420F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E46725" w:rsidRDefault="004420F7">
      <w:pPr>
        <w:spacing w:after="0" w:line="276" w:lineRule="auto"/>
        <w:jc w:val="both"/>
      </w:pPr>
      <w:r>
        <w:rPr>
          <w:rFonts w:ascii="Times New Roman" w:eastAsia="Times New Roman" w:hAnsi="Times New Roman" w:cs="Times New Roman"/>
          <w:b/>
          <w:sz w:val="26"/>
        </w:rPr>
        <w:t xml:space="preserve">Trình tự thực hiện: </w:t>
      </w:r>
    </w:p>
    <w:p w:rsidR="00E46725" w:rsidRDefault="00E46725">
      <w:pPr>
        <w:shd w:val="clear" w:color="auto" w:fill="F2F6F9"/>
        <w:spacing w:before="120" w:after="0" w:line="276" w:lineRule="auto"/>
        <w:jc w:val="both"/>
      </w:pPr>
    </w:p>
    <w:p w:rsidR="00E46725" w:rsidRDefault="004420F7">
      <w:pPr>
        <w:spacing w:after="0" w:line="276" w:lineRule="auto"/>
        <w:jc w:val="both"/>
      </w:pPr>
      <w:r>
        <w:rPr>
          <w:rFonts w:ascii="Times New Roman" w:eastAsia="Times New Roman" w:hAnsi="Times New Roman" w:cs="Times New Roman"/>
          <w:sz w:val="26"/>
        </w:rPr>
        <w:t>A. Đối với thuốc viện trợ thuộc một trong các trường hợp: a) Thuốc viện trợ được các đoàn công tác khám bệnh, chữa bệnh nhân đạo của nước ngoài mang theo để phục vụ công tác khám bệnh, chữa bệnh nhân đạo; b) Thuốc được viện trợ để sử dụng cho người bệnh cụ thể đang điều trị tại cơ sở khám bệnh, chữa bệnh theo đề nghị của cơ sở khám bệnh, chữa bệnh. Bước 1: Cơ sở đề nghị cấp phép nhập khẩu nộp hồ sơ trực tiếp hoặc qua dịch vụ bưu chính hoặc trực tuyến về Bộ Y tế, cụ thể:  - Cục Quản lý Dược đối với thuốc hóa</w:t>
      </w:r>
      <w:r>
        <w:rPr>
          <w:rFonts w:ascii="Times New Roman" w:eastAsia="Times New Roman" w:hAnsi="Times New Roman" w:cs="Times New Roman"/>
          <w:sz w:val="26"/>
        </w:rPr>
        <w:t xml:space="preserve"> dược, thuốc dược liệu, vắc xin, sinh phẩm ;  - Cục Quản lý Y, Dược cổ truyền đối với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 tiếp nhận hồ sơ, trong thời hạn 15 (mười lăm) ngày, Cục Quản lý Dược/ Cục Quản lý Y, Dược cổ truyền cấp phép nhập khẩu. Trường hợp có yêu cầu sửa đổi, bổ sung hồ </w:t>
      </w:r>
      <w:r>
        <w:rPr>
          <w:rFonts w:ascii="Times New Roman" w:eastAsia="Times New Roman" w:hAnsi="Times New Roman" w:cs="Times New Roman"/>
          <w:sz w:val="26"/>
        </w:rPr>
        <w:t>sơ, kể từ ngày ghi trên Phiếu tiếp nhận hồ sơ, trong thời hạn 15 (mười lăm) ngày, Cục Quản lý Dược/ Cục Quản lý Y, Dược cổ truyền gửi văn bản cho cơ sở để yêu cầu sửa đổi, bổ sung hồ sơ; Bước 4: Sau khi nhận hồ sơ sửa đổi, bổ sung, cơ quan tiếp nhận hồ sơ trả cơ sở Phiếu tiếp nhận hồ sơ sửa đổi, bổ sung theo Mẫu số 01 tại Phụ lục I ban hành kèm theo Nghị định số 163/2025/NĐ-CP. Trường hợp hồ sơ sửa đổi, bổ sung không đáp ứng yêu cầu, trong thời hạn 15 ngày kể từ ngày ghi trên Phiếu tiếp nhận hồ sơ, Cục Quản</w:t>
      </w:r>
      <w:r>
        <w:rPr>
          <w:rFonts w:ascii="Times New Roman" w:eastAsia="Times New Roman" w:hAnsi="Times New Roman" w:cs="Times New Roman"/>
          <w:sz w:val="26"/>
        </w:rPr>
        <w:t xml:space="preserve"> lý Dược/ Cục Quản lý Y, Dược cổ truyền có văn bản thông báo cho cơ sở về việc không cấp phép nhập khẩu theo Mẫu số 16 tại Phụ lục I ban hành kèm theo Nghị định số 163/2025/NĐ-CP. Trường hợp không có yêu cầu sửa đổi, bổ sung đối với hồ sơ sửa đổi, bổ sung, Cục Quản lý Dược/ Cục Quản lý Y, Dược cổ truyền cấp phép nhập khẩu theo quy định tại bước 3. Trong thời hạn 06 tháng kể từ ngày Cục Quản lý Dược/ Cục Quản lý Y, Dược cổ truyền có văn bản thông báo sửa đổi, bổ sung, cơ sở đề nghị cấp phép nhập khẩu phải nộ</w:t>
      </w:r>
      <w:r>
        <w:rPr>
          <w:rFonts w:ascii="Times New Roman" w:eastAsia="Times New Roman" w:hAnsi="Times New Roman" w:cs="Times New Roman"/>
          <w:sz w:val="26"/>
        </w:rPr>
        <w:t xml:space="preserve">p hồ sơ sửa đổi, bổ sung theo yêu cầu. Sau thời hạn trên, cơ sở không nộp hồ sơ sửa đổi, bổ sung thì hồ sơ đã nộp không còn giá trị; B.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w:t>
      </w:r>
      <w:r>
        <w:rPr>
          <w:rFonts w:ascii="Times New Roman" w:eastAsia="Times New Roman" w:hAnsi="Times New Roman" w:cs="Times New Roman"/>
          <w:sz w:val="26"/>
        </w:rPr>
        <w:lastRenderedPageBreak/>
        <w:t>vắc xin và không thuộc các trường hợp sau: - Thuốc viện trợ được các đoàn công tác khám bệnh, chữa bệnh nhân đạo của nước ngoài mang theo để phục vụ công tác kh</w:t>
      </w:r>
      <w:r>
        <w:rPr>
          <w:rFonts w:ascii="Times New Roman" w:eastAsia="Times New Roman" w:hAnsi="Times New Roman" w:cs="Times New Roman"/>
          <w:sz w:val="26"/>
        </w:rPr>
        <w:t>ám bệnh, chữa bệnh nhân đạo; - Thuốc được 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 Bước 1: Cơ sở đề nghị cấp phép nhập khẩu nộp hồ sơ trực tiếp hoặc qua dịch vụ bưu chính hoặc trực tuyến về Bộ Y tế, cụ thể:  - Cục Quản lý Dược đối với thuốc hóa dược, thuốc dược liệu, vắc xin, sinh phẩm ;  - Cục Quản lý Y, Dược cổ truyền đối v</w:t>
      </w:r>
      <w:r>
        <w:rPr>
          <w:rFonts w:ascii="Times New Roman" w:eastAsia="Times New Roman" w:hAnsi="Times New Roman" w:cs="Times New Roman"/>
          <w:sz w:val="26"/>
        </w:rPr>
        <w:t>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 tiếp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w:t>
      </w:r>
      <w:r>
        <w:rPr>
          <w:rFonts w:ascii="Times New Roman" w:eastAsia="Times New Roman" w:hAnsi="Times New Roman" w:cs="Times New Roman"/>
          <w:sz w:val="26"/>
        </w:rPr>
        <w:t>h tương tự so với sinh phẩm tham chiếu, Cục Quản lý Dược/ Cục Quản lý Y, Dược cổ truyền cấp phép nhập khẩu trên cơ sở thẩm định hồ sơ, tư vấn của hội đồng có chức năng tư vấn cấp giấy phép nhập khẩu thuốc; Trường hợp có yêu cầu sửa đổi, bổ sung hồ sơ, kể từ ngày ghi trên Phiếu tiếp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w:t>
      </w:r>
      <w:r>
        <w:rPr>
          <w:rFonts w:ascii="Times New Roman" w:eastAsia="Times New Roman" w:hAnsi="Times New Roman" w:cs="Times New Roman"/>
          <w:sz w:val="26"/>
        </w:rPr>
        <w:t>ệu chứng minh tương tự so với sinh phẩm tham chiếu, Cục Quản lý Dược/ Cục Quản lý Y, Dược cổ truyền gửi văn bản cho cơ sở để yêu cầu sửa đổi, bổ sung hồ sơ theo Mẫu số 16 tại Phụ lục I Nghị định số 163/2025/NĐ-CP; Bước 4: Sau khi nhận hồ sơ sửa đổi, bổ sung, cơ quan tiếp nhận hồ sơ trả cơ sở Phiếu tiếp nhận hồ sơ sửa đổi, bổ sung theo Mẫu số 01 Phụ lục I của Nghị định số 163/2025/NĐ-CP. Trường hợp hồ sơ sửa đổi, bổ sung không đáp ứng yêu cầu, kể từ ngày ghi trên Phiếu tiếp nhận hồ sơ, trong thời hạn 60 (sáu</w:t>
      </w:r>
      <w:r>
        <w:rPr>
          <w:rFonts w:ascii="Times New Roman" w:eastAsia="Times New Roman" w:hAnsi="Times New Roman" w:cs="Times New Roman"/>
          <w:sz w:val="26"/>
        </w:rPr>
        <w:t xml:space="preserve">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Quản lý Y, Dược cổ truyền có văn bản thông báo cho cơ sở về việc không cấp phép nhập khẩu theo Mẫu số 16 Phụ lục I Nghị định số 163/2025/NĐ-CP. Trường hợp không có yêu cầu sửa đổi, bổ sung đối với hồ sơ sửa đổi, bổ sung, Cục Quản lý Dược/ Cục </w:t>
      </w:r>
      <w:r>
        <w:rPr>
          <w:rFonts w:ascii="Times New Roman" w:eastAsia="Times New Roman" w:hAnsi="Times New Roman" w:cs="Times New Roman"/>
          <w:sz w:val="26"/>
        </w:rPr>
        <w:t>Quản lý Y, Dược cổ truyền cấp phép nhập khẩu theo quy định tại bước 3. Trong thời hạn 06 (sáu) tháng, kể từ ngày Cục Quản lý Dược/ Cục Quản lý Y, Dược cổ truyền có văn bản thông báo sửa đổi, bổ sung, cơ sở đề nghị cấp phép nhập khẩu phải nộp hồ sơ sửa đổi, bổ sung theo yêu cầu. Sau thời hạn trên, cơ sở không nộp hồ sơ sửa đổi, bổ sung thì hồ sơ đã nộp không còn giá trị;</w:t>
      </w:r>
    </w:p>
    <w:p w:rsidR="00E46725" w:rsidRDefault="004420F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4"/>
        <w:gridCol w:w="898"/>
        <w:gridCol w:w="1034"/>
        <w:gridCol w:w="6625"/>
      </w:tblGrid>
      <w:tr w:rsidR="00E46725">
        <w:tblPrEx>
          <w:tblCellMar>
            <w:top w:w="0" w:type="dxa"/>
            <w:bottom w:w="0" w:type="dxa"/>
          </w:tblCellMar>
        </w:tblPrEx>
        <w:tc>
          <w:tcPr>
            <w:tcW w:w="15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Hình thức nộp</w:t>
            </w:r>
          </w:p>
        </w:tc>
        <w:tc>
          <w:tcPr>
            <w:tcW w:w="2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Phí, lệ phí</w:t>
            </w:r>
          </w:p>
        </w:tc>
        <w:tc>
          <w:tcPr>
            <w:tcW w:w="3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Mô tả</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Trực tiếp</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15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 15 ngày kể từ ngày tiếp nhận hồ sơ đối với thuốc viện trợ thuộc một trong các trường hợp: a) Thuốc viện trợ được các đoàn công tác khám bệnh, chữa bệnh nhân đạo của nước ngoài mang theo để phục vụ công tác khám bệnh, chữa bệnh nhân đạo; b) Thuốc được viện trợ để sử dụng cho người bệnh cụ thể đang điều trị tại cơ sở khám bệnh, chữa bệnh theo đề nghị của cơ sở khám bệnh, chữa bệnh.</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Trực tiếp</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60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60 ngày (hồ sơ không có dữ liệu lâm sàng/ tài liệu chứng minh tương tự so với sinh phẩm tham chiếu)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vắc xin và không thuộc các trường hợp sau: - Thuốc viện trợ được các đoàn công tác khám bệnh, chữa bệnh nhân đạo của nước ngoài mang theo để phục vụ công tác khám bệnh, chữa bệnh nhân đạo; - Thuốc</w:t>
            </w:r>
            <w:r>
              <w:rPr>
                <w:rFonts w:ascii="Times New Roman" w:eastAsia="Times New Roman" w:hAnsi="Times New Roman" w:cs="Times New Roman"/>
                <w:sz w:val="26"/>
              </w:rPr>
              <w:t xml:space="preserve"> được 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Trực tiếp</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90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 xml:space="preserve">90 ngày (hồ sơ có dữ liệu lâm sàng/ tài liệu chứng minh tương tự so với sinh phẩm tham chiếu)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vắc xin và không thuộc các trường hợp sau: - Thuốc viện trợ được các đoàn công tác khám bệnh, chữa bệnh nhân đạo của nước ngoài mang theo để phục vụ công tác khám bệnh, chữa bệnh nhân đạo; - Thuốc được </w:t>
            </w:r>
            <w:r>
              <w:rPr>
                <w:rFonts w:ascii="Times New Roman" w:eastAsia="Times New Roman" w:hAnsi="Times New Roman" w:cs="Times New Roman"/>
                <w:sz w:val="26"/>
              </w:rPr>
              <w:t>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Trực tuyến</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15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 15 ngày kể từ ngày tiếp nhận hồ sơ đối với thuốc viện trợ thuộc một trong các trường hợp: a) Thuốc viện trợ được các đoàn công tác khám bệnh, chữa bệnh nhân đạo của nước ngoài mang theo để phục vụ công tác khám bệnh, chữa bệnh nhân đạo; b) Thuốc được viện trợ để sử dụng cho người bệnh cụ thể đang điều trị tại cơ sở khám bệnh, chữa bệnh theo đề nghị của cơ sở khám bệnh, chữa bệnh.</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Trực tuyến</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60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60 ngày (hồ sơ không có dữ liệu lâm sàng/ tài liệu chứng minh tương tự so với sinh phẩm tham chiếu)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vắc xin và không thuộc các trường hợp sau: - Thuốc viện trợ được các đoàn công tác khám bệnh, chữa bệnh nhân đạo của nước ngoài mang theo để phục vụ công tác khám bệnh, chữa bệnh nhân đạo; - Thuốc</w:t>
            </w:r>
            <w:r>
              <w:rPr>
                <w:rFonts w:ascii="Times New Roman" w:eastAsia="Times New Roman" w:hAnsi="Times New Roman" w:cs="Times New Roman"/>
                <w:sz w:val="26"/>
              </w:rPr>
              <w:t xml:space="preserve"> được 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Trực tuyến</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90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 xml:space="preserve">90 ngày (hồ sơ có dữ liệu lâm sàng/ tài liệu chứng minh tương tự so với sinh phẩm tham chiếu)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vắc xin và không thuộc các trường hợp sau: - Thuốc viện trợ được các đoàn công tác khám bệnh, chữa bệnh nhân đạo của nước ngoài mang theo để phục vụ công tác khám bệnh, chữa bệnh nhân đạo; - Thuốc được </w:t>
            </w:r>
            <w:r>
              <w:rPr>
                <w:rFonts w:ascii="Times New Roman" w:eastAsia="Times New Roman" w:hAnsi="Times New Roman" w:cs="Times New Roman"/>
                <w:sz w:val="26"/>
              </w:rPr>
              <w:t>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Dịch vụ bưu chính</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15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 15 ngày kể từ ngày tiếp nhận hồ sơ đối với thuốc viện trợ thuộc một trong các trường hợp: a) Thuốc viện trợ được các đoàn công tác khám bệnh, chữa bệnh nhân đạo của nước ngoài mang theo để phục vụ công tác khám bệnh, chữa bệnh nhân đạo; b) Thuốc được viện trợ để sử dụng cho người bệnh cụ thể đang điều trị tại cơ sở khám bệnh, chữa bệnh theo đề nghị của cơ sở khám bệnh, chữa bệnh.</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Dịch vụ bưu chính</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60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60 ngày (hồ sơ không có dữ liệu lâm sàng/ tài liệu chứng minh tương tự so với sinh phẩm tham chiếu)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vắc xin và không thuộc các trường hợp sau: - Thuốc viện trợ được các đoàn công tác khám bệnh, chữa bệnh nhân đạo của nước ngoài mang theo để phục vụ công tác khám bệnh, chữa bệnh nhân đạo; - Thuốc</w:t>
            </w:r>
            <w:r>
              <w:rPr>
                <w:rFonts w:ascii="Times New Roman" w:eastAsia="Times New Roman" w:hAnsi="Times New Roman" w:cs="Times New Roman"/>
                <w:sz w:val="26"/>
              </w:rPr>
              <w:t xml:space="preserve"> được 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Dịch vụ bưu chính</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90 Ngày làm việc</w:t>
            </w:r>
          </w:p>
        </w:tc>
        <w:tc>
          <w:tcPr>
            <w:tcW w:w="0" w:type="auto"/>
          </w:tcPr>
          <w:p w:rsidR="00E46725" w:rsidRDefault="00E46725"/>
          <w:p w:rsidR="00E46725" w:rsidRDefault="00E46725">
            <w:pPr>
              <w:spacing w:after="0" w:line="276" w:lineRule="auto"/>
            </w:pP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 xml:space="preserve">90 ngày (hồ sơ có dữ liệu lâm sàng/ tài liệu chứng minh tương tự so với sinh phẩm tham chiếu) đối với thuốc viện trợ thuộc một trong các trường hợp: a) Thuốc được viện trợ để sử dụng cho các chương trình y tế nhà nước hoặc dự án y tế nhà nước; b) Thuốc viện trợ không phải là thuốc gây nghiện, thuốc phóng xạ, vắc xin và không thuộc các trường hợp sau: - Thuốc viện trợ được các đoàn công tác khám bệnh, chữa bệnh nhân đạo của nước ngoài mang theo để phục vụ công tác khám bệnh, chữa bệnh nhân đạo; - Thuốc được </w:t>
            </w:r>
            <w:r>
              <w:rPr>
                <w:rFonts w:ascii="Times New Roman" w:eastAsia="Times New Roman" w:hAnsi="Times New Roman" w:cs="Times New Roman"/>
                <w:sz w:val="26"/>
              </w:rPr>
              <w:t>viện trợ để sử dụng cho người bệnh cụ thể đang điều trị tại cơ sở khám bệnh, chữa bệnh theo đề nghị của cơ sở khám bệnh, chữa bệnh; - Thuốc được viện trợ để sử dụng cho các chương trình y tế nhà nước hoặc dự án y tế nhà nước.</w:t>
            </w:r>
          </w:p>
        </w:tc>
      </w:tr>
    </w:tbl>
    <w:p w:rsidR="00E46725" w:rsidRDefault="004420F7">
      <w:pPr>
        <w:spacing w:before="240" w:after="0" w:line="276" w:lineRule="auto"/>
        <w:jc w:val="both"/>
      </w:pPr>
      <w:r>
        <w:rPr>
          <w:rFonts w:ascii="Times New Roman" w:eastAsia="Times New Roman" w:hAnsi="Times New Roman" w:cs="Times New Roman"/>
          <w:b/>
          <w:sz w:val="26"/>
        </w:rPr>
        <w:t xml:space="preserve">Thành phần hồ sơ: </w:t>
      </w:r>
    </w:p>
    <w:p w:rsidR="00E46725" w:rsidRDefault="004420F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27"/>
        <w:gridCol w:w="1590"/>
        <w:gridCol w:w="908"/>
      </w:tblGrid>
      <w:tr w:rsidR="00E46725">
        <w:tblPrEx>
          <w:tblCellMar>
            <w:top w:w="0" w:type="dxa"/>
            <w:bottom w:w="0" w:type="dxa"/>
          </w:tblCellMar>
        </w:tblPrEx>
        <w:tc>
          <w:tcPr>
            <w:tcW w:w="6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Tên giấy tờ</w:t>
            </w:r>
          </w:p>
        </w:tc>
        <w:tc>
          <w:tcPr>
            <w:tcW w:w="2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Mẫu đơn, tờ khai</w:t>
            </w:r>
          </w:p>
        </w:tc>
        <w:tc>
          <w:tcPr>
            <w:tcW w:w="2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Số lượng</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a) Đơn hàng  nhập khẩu</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mubiudc.docx</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1</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 Bản chính văn bản của cơ sở nhận  viện trợ, viện trợ nhân đạo, ghi rõ số lượng của từng loại thuốc nhận viện trợ, viện trợ nhân đạo và cam kết sử dụng thuốc đúng mục đích, đúng đối tượng;</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c) Bản chính hoặc bản sao có chứng  thực văn bản của cơ quan quản lý nhà nước có thẩm quyền phê duyệt tiếp nhận viện trợ, viện trợ nhân đạo hoặc bản chính văn bản phê duyệt của cơ quan có thẩm quyền về việc thực hiện hoạt động khám, chữa bệnh nhân đạo kèm danh mục thuốc viện trợ đối với trường hợp nhập khẩu thuốc viện trợ được các đoàn công tác khám bệnh, chữa bệnh nhân đạo của nước ngoài mang theo để phục vụ công tác khám bệnh, chữa bệnh nhân đạo.</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d) Bản chính hoặc bản sao có chứng thực hoặc bản sao kèm xuất trình bản chính để đối chiếu Giấy chứng nhận sản phẩm dược phẩm.</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đ) Hồ sơ chất lượng theo quy định của Bộ trưởng Bộ Y tế về áp dụng hồ sơ kỹ thuật chung ASEAN (ACTD) hoặc hồ sơ kỹ thuật chung ICH-CTD trong đăng ký thuốc hoặc tiêu chuẩn chất lượng và kết quả nghiên cứu tương đương sinh học theo quy định tại khoản 6 Điều 61 của Nghị định số 163/2025/NĐ-CP</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e) Hồ sơ lâm sàng đối với các trường hợp có  yêu cầu phải nộp hồ sơ lâm sàng theo quy định của Bộ trưởng Bộ Y tế về đăng ký thuốc. Miễn nộp tài liệu tại điểm này trong trường hợp thuốc đã từng được cấp phép nhập khẩu theo quy định tại Điều 57 Nghị định số 163/2025/NĐ-CP và không có thay đổi thông tin liên quan đến chỉ định, liều dùng, đối tượng sử dụng</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g) 01 bộ mẫu nhãn thuốc và tờ hướng dẫn  sử dụng thuốc lưu hành thực tế tại nước sản xuất hoặc nước xuất khẩu có dấu xác nhận của cơ sở sản xuất hoặc cơ sở sở hữu sản phẩm hoặc của cơ sở sở hữu giấy phép sản phẩm (ghi trên Giấy chứng nhận sản phẩm dược phẩm) và cơ sở nhập khẩu (chấp nhận bản in màu theo đúng mẫu nhãn đang lưu hành ở nước sở tại)</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h) 02 bộ mẫu nhãn và tờ hướng dẫn  sử dụng tiếng Việt có đóng dấu của cơ sở nhập khẩu;</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i)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tất cả các cơ sở tham gia sản xuất</w:t>
            </w:r>
            <w:r>
              <w:rPr>
                <w:rFonts w:ascii="Times New Roman" w:eastAsia="Times New Roman" w:hAnsi="Times New Roman" w:cs="Times New Roman"/>
                <w:sz w:val="26"/>
              </w:rPr>
              <w:t xml:space="preserve"> thuốc nhập khẩu. Miễn nộp tại liệu tại điểm này trong trường hợp cơ sở sản xuất đã được xác nhận đạt nguyên tắc, tiêu chuẩn Thực hành tốt sản xuất trên Giấy chứng nhận sản phẩm dược phẩm</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k) Miễn các tài liệu quy định  tại điểm d, đ, e, g, h và i khoản 2 Điều 57 của Nghị định số 163/2025/NĐ-CP đối với trường hợp nhập khẩu thuốc quy định tại điểm a, b khoản 1 Điều 57 Nghị định số 163/2025/NĐ-CP nhưng phải có văn bản cam kết của cơ sở nhận viện trợ về việc thuốc được cấp phép lưu hành tại nước sản xuất hoặc nước là thành viên của ICH hoặc Australia và trong văn bản của cơ sở nhận viện trợ ghi rõ danh sách người bệnh có nhu cầu sử dụng thuốc đối với trường hợp quy định tại điểm b khoản 1 Điều 5</w:t>
            </w:r>
            <w:r>
              <w:rPr>
                <w:rFonts w:ascii="Times New Roman" w:eastAsia="Times New Roman" w:hAnsi="Times New Roman" w:cs="Times New Roman"/>
                <w:sz w:val="26"/>
              </w:rPr>
              <w:t>7 Nghị định số 163/2025/NĐ-CP.</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Trường hợp nhập khẩu thuốc  mà không cung  cấp được tài liệu quy định tại điểm d, đ, e, g, h và i khoản 2 Điều 57 của Nghị định số 163/2025/NĐ-CP nhưng cần thiết cho nhu cầu điều trị, cơ quan tiếp nhận hồ sơ xem xét, quyết định trên cơ sở tư vấn của hội đồng có chức năng tư vấn cấp giấy phép nhập khẩu thuốc và cam kết của cơ sở viện trợ thuốc về việc thuốc đã được cấp phép lưu hành tại nước sản xuất hoặc nước là thành viên ICH hoặc Australia, cam kết về chịu trách nhiệm an toàn, hiệu quả của thuốc của cơ sở</w:t>
            </w:r>
            <w:r>
              <w:rPr>
                <w:rFonts w:ascii="Times New Roman" w:eastAsia="Times New Roman" w:hAnsi="Times New Roman" w:cs="Times New Roman"/>
                <w:sz w:val="26"/>
              </w:rPr>
              <w:t xml:space="preserve"> tiếp nhận viện trợ</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Giấy tờ trong hồ sơ đề nghị cấp  phép nhập khẩu thuốc: theo quy định tại Điều 61 Nghị định số 163/2025/NĐ-CP</w:t>
            </w:r>
          </w:p>
        </w:tc>
        <w:tc>
          <w:tcPr>
            <w:tcW w:w="0" w:type="auto"/>
          </w:tcPr>
          <w:p w:rsidR="00E46725" w:rsidRDefault="00E46725"/>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46725" w:rsidRDefault="004420F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E46725" w:rsidRDefault="004420F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E46725" w:rsidRDefault="004420F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46725" w:rsidRDefault="004420F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46725" w:rsidRDefault="004420F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46725" w:rsidRDefault="004420F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46725" w:rsidRDefault="004420F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chấp thuận/Văn bản yêu cầu sửa đổi, bổ sung hồ sơ/Văn bản trả lời không cho phép nhập khẩu.</w:t>
      </w:r>
    </w:p>
    <w:p w:rsidR="00E46725" w:rsidRDefault="004420F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4882"/>
        <w:gridCol w:w="984"/>
        <w:gridCol w:w="1618"/>
      </w:tblGrid>
      <w:tr w:rsidR="00E46725">
        <w:tblPrEx>
          <w:tblCellMar>
            <w:top w:w="0" w:type="dxa"/>
            <w:bottom w:w="0" w:type="dxa"/>
          </w:tblCellMar>
        </w:tblPrEx>
        <w:tc>
          <w:tcPr>
            <w:tcW w:w="2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Số ký hiệu</w:t>
            </w:r>
          </w:p>
        </w:tc>
        <w:tc>
          <w:tcPr>
            <w:tcW w:w="35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Trích yếu</w:t>
            </w:r>
          </w:p>
        </w:tc>
        <w:tc>
          <w:tcPr>
            <w:tcW w:w="15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Ngày ban hành</w:t>
            </w:r>
          </w:p>
        </w:tc>
        <w:tc>
          <w:tcPr>
            <w:tcW w:w="3000" w:type="dxa"/>
          </w:tcPr>
          <w:p w:rsidR="00E46725" w:rsidRDefault="00E46725"/>
          <w:p w:rsidR="00E46725" w:rsidRDefault="004420F7">
            <w:pPr>
              <w:spacing w:after="0" w:line="276" w:lineRule="auto"/>
              <w:jc w:val="center"/>
            </w:pPr>
            <w:r>
              <w:rPr>
                <w:rFonts w:ascii="Times New Roman" w:eastAsia="Times New Roman" w:hAnsi="Times New Roman" w:cs="Times New Roman"/>
                <w:b/>
                <w:sz w:val="26"/>
              </w:rPr>
              <w:t>Cơ quan ban hành</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Luật 105/2016/QH13</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105/2016/QH13 Dược</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06-04-2016</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Quốc Hội</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44/2024/QH15</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Luật số 44/2024/QH15</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21-11-2024</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Quốc Hội</w:t>
            </w:r>
          </w:p>
        </w:tc>
      </w:tr>
      <w:tr w:rsidR="00E46725">
        <w:tblPrEx>
          <w:tblCellMar>
            <w:top w:w="0" w:type="dxa"/>
            <w:bottom w:w="0" w:type="dxa"/>
          </w:tblCellMar>
        </w:tblPrEx>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163/2025/NĐ-CP</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E46725" w:rsidRDefault="00E46725"/>
          <w:p w:rsidR="00E46725" w:rsidRDefault="004420F7">
            <w:pPr>
              <w:spacing w:after="0" w:line="276" w:lineRule="auto"/>
            </w:pPr>
            <w:r>
              <w:rPr>
                <w:rFonts w:ascii="Times New Roman" w:eastAsia="Times New Roman" w:hAnsi="Times New Roman" w:cs="Times New Roman"/>
                <w:sz w:val="26"/>
              </w:rPr>
              <w:t>29-06-2025</w:t>
            </w:r>
          </w:p>
        </w:tc>
        <w:tc>
          <w:tcPr>
            <w:tcW w:w="0" w:type="auto"/>
          </w:tcPr>
          <w:p w:rsidR="00E46725" w:rsidRDefault="00E46725"/>
        </w:tc>
      </w:tr>
    </w:tbl>
    <w:p w:rsidR="00E46725" w:rsidRDefault="004420F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Thuốc chưa có Giấy đăng ký lưu hành thuốc tại Việt Nam được cấp phép nhập khẩu khi đáp ứng tiêu chí sau: Thuốc được cấp phép lưu hành tại nước sản xuất hoặc nước là thành viên ICH hoặc Australia và thuộc một trong các trường hợp sau: a) Thuốc viện trợ được các đoàn công tác khám bệnh, chữa bệnh nhân đạo của nước ngoài mang theo để phục vụ công tác khám bệnh, chữa bệnh nhân đạo; b) Thuốc được viện trợ để sử dụng cho người bệnh cụ thể đang điều trị tại cơ sở khám bệnh, chữa bệnh theo đề nghị của cơ sở khám</w:t>
      </w:r>
      <w:r>
        <w:rPr>
          <w:rFonts w:ascii="Times New Roman" w:eastAsia="Times New Roman" w:hAnsi="Times New Roman" w:cs="Times New Roman"/>
          <w:sz w:val="26"/>
        </w:rPr>
        <w:t xml:space="preserve"> bệnh, chữa bệnh; c) Thuốc được viện trợ để sử dụng cho các chương trình y tế nhà nước hoặc dự án y tế nhà nước; d) Thuốc viện trợ không thuộc trường hợp quy định tại điểm a, b, c khoản 1 Điều 57 của Nghị định số 163/2025/NĐ-CP và không phải là thuốc gây nghiện, thuốc phóng xạ, vắc xin. 2. Cơ sở nhập khẩu là cơ sở đã được cấp Giấy chứng nhận đủ điều kiện kinh doanh dược, phạm vi: xuất khẩu, nhập khẩu thuốc phù hợp với thuốc đề nghị nhập khẩu và các cơ sở quy định tại khoản 11 Điều 82 Nghị định số 163/2025/N</w:t>
      </w:r>
      <w:r>
        <w:rPr>
          <w:rFonts w:ascii="Times New Roman" w:eastAsia="Times New Roman" w:hAnsi="Times New Roman" w:cs="Times New Roman"/>
          <w:sz w:val="26"/>
        </w:rPr>
        <w:t>Đ-CP.</w:t>
      </w:r>
    </w:p>
    <w:p w:rsidR="00E46725" w:rsidRDefault="004420F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46725" w:rsidRDefault="004420F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https://thutuc.dichvucong.gov.vn/p/home/dvc-tthc-thu-tuc-hanh-chinh-chi-tiet.html?ma_thu_tuc=406865</w:t>
      </w:r>
    </w:p>
    <w:sectPr w:rsidR="00E4672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6725"/>
    <w:rsid w:val="000B0B34"/>
    <w:rsid w:val="004420F7"/>
    <w:rsid w:val="00E4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18DA43-4B15-41A1-8794-1DE80ECD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2671</Words>
  <Characters>15231</Characters>
  <Application>Microsoft Office Word</Application>
  <DocSecurity>0</DocSecurity>
  <Lines>126</Lines>
  <Paragraphs>35</Paragraphs>
  <ScaleCrop>false</ScaleCrop>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