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41DD" w:rsidRDefault="006E333D">
      <w:pPr>
        <w:spacing w:after="300" w:line="276" w:lineRule="auto"/>
        <w:jc w:val="center"/>
      </w:pPr>
      <w:r>
        <w:rPr>
          <w:rFonts w:ascii="Times New Roman" w:eastAsia="Times New Roman" w:hAnsi="Times New Roman" w:cs="Times New Roman"/>
          <w:b/>
          <w:sz w:val="26"/>
        </w:rPr>
        <w:t>Chi tiết thủ tục hành chính</w:t>
      </w:r>
    </w:p>
    <w:p w:rsidR="00F941DD" w:rsidRDefault="006E333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1.014087</w:t>
      </w:r>
    </w:p>
    <w:p w:rsidR="00F941DD" w:rsidRDefault="006E333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F941DD" w:rsidRDefault="006E333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mua thuốc gây nghiện, thuốc hướng thần, thuốc tiền chất, thuốc dạng phối hợp có chứa tiền chất thuộc thẩm quyền của Ủy ban nhân dân cấp tỉnh</w:t>
      </w:r>
    </w:p>
    <w:p w:rsidR="00F941DD" w:rsidRDefault="006E333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F941DD" w:rsidRDefault="006E333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941DD" w:rsidRDefault="006E333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F941DD" w:rsidRDefault="006E333D">
      <w:pPr>
        <w:spacing w:after="0" w:line="276" w:lineRule="auto"/>
        <w:jc w:val="both"/>
      </w:pPr>
      <w:r>
        <w:rPr>
          <w:rFonts w:ascii="Times New Roman" w:eastAsia="Times New Roman" w:hAnsi="Times New Roman" w:cs="Times New Roman"/>
          <w:b/>
          <w:sz w:val="26"/>
        </w:rPr>
        <w:t xml:space="preserve">Trình tự thực hiện: </w:t>
      </w:r>
    </w:p>
    <w:p w:rsidR="00F941DD" w:rsidRDefault="00F941DD">
      <w:pPr>
        <w:shd w:val="clear" w:color="auto" w:fill="F2F6F9"/>
        <w:spacing w:before="120" w:after="0" w:line="276" w:lineRule="auto"/>
        <w:jc w:val="both"/>
      </w:pPr>
    </w:p>
    <w:p w:rsidR="00F941DD" w:rsidRDefault="006E333D">
      <w:pPr>
        <w:spacing w:after="0" w:line="276" w:lineRule="auto"/>
        <w:jc w:val="both"/>
      </w:pPr>
      <w:r>
        <w:rPr>
          <w:rFonts w:ascii="Times New Roman" w:eastAsia="Times New Roman" w:hAnsi="Times New Roman" w:cs="Times New Roman"/>
          <w:sz w:val="26"/>
        </w:rPr>
        <w:t>Bước 1: Cơ sở đề nghị mua thuốc nộp hồ sơ trực tiếp hoặc qua dịch vụ bưu chính hoặc trực tuyến về:  - Ủy ban nhân dân cấp tỉnh nơi cơ sở đặt địa điểm kinh doanh đối với hồ sơ mua thuốc của cơ sở kinh doanh dược, bao gồm cả các cơ sở kinh doanh dược thuộc phạm vi quản lý của Bộ Công an, Bộ Quốc phòng; - Ủy ban nhân dân cấp tỉnh nơi cơ sở đặt trụ sở chính đối với hồ sơ mua thuốc của các cơ sở không phải là cơ sở kinh doanh dược mà không thuộc thẩm quyền quản lý của Bộ Công an, Bộ Quốc phòng. Bước 2: Cơ quan t</w:t>
      </w:r>
      <w:r>
        <w:rPr>
          <w:rFonts w:ascii="Times New Roman" w:eastAsia="Times New Roman" w:hAnsi="Times New Roman" w:cs="Times New Roman"/>
          <w:sz w:val="26"/>
        </w:rPr>
        <w:t>iếp nhận hồ sơ trả cho cơ sở đề nghị Phiếu tiếp nhận hồ sơ  đề nghị duyệt mua thuốc theo Mẫu số 01 tại Phụ lục I ban hành kèm theo Nghị định số 163/2025/NĐ-CP. Bước 3: Trường hợp không có yêu cầu sửa đổi, bổ sung hồ sơ, Ủy ban nhân dân cấp tỉnh ký duyệt đơn hàng mua thuốc trong thời hạn 30 ngày kể từ ngày ghi trên Phiếu tiếp nhận hồ sơ. Bước 4: Trường hợp có yêu cầu sửa đổi, bổ sung hồ sơ, Ủy ban nhân dân cấp tỉnh có văn bản gửi cơ sở trong thời hạn 30 ngày kể từ ngày ghi trên Phiếu tiếp nhận hồ sơ theo mẫu</w:t>
      </w:r>
      <w:r>
        <w:rPr>
          <w:rFonts w:ascii="Times New Roman" w:eastAsia="Times New Roman" w:hAnsi="Times New Roman" w:cs="Times New Roman"/>
          <w:sz w:val="26"/>
        </w:rPr>
        <w:t xml:space="preserve"> số 16 Phụ lục I ban hành kèm theo Nghị định số 163/2025/NĐ-CP, trong đó phải nêu cụ thể các tài liệu, nội dung cần sửa đổi, bổ sung. Trong thời hạn 06 tháng kể từ ngày Ủy ban nhân dân cấp tỉnh có văn bản thông báo sửa đổi, bổ sung, cơ sở phải nộp hồ sơ sửa đổi, bổ sung theo yêu cầu. Sau thời hạn trên, cơ sở không nộp hồ sơ sửa đổi, bổ sung thì hồ sơ đã nộp không còn giá trị. Bước 5: Sau khi cơ sở nộp hồ sơ sửa đổi, bổ sung, Ủy ban nhân dân cấp tỉnh trả cho cơ sở Phiếu tiếp nhận hồ sơ sửa đổi, bổ sung. a) T</w:t>
      </w:r>
      <w:r>
        <w:rPr>
          <w:rFonts w:ascii="Times New Roman" w:eastAsia="Times New Roman" w:hAnsi="Times New Roman" w:cs="Times New Roman"/>
          <w:sz w:val="26"/>
        </w:rPr>
        <w:t>rường hợp hồ sơ sửa đổi, bổ sung không đáp ứng yêu cầu, trong thời hạn 30 ngày kể từ ngày ghi trên Phiếu tiếp nhận hồ sơ, Ủy ban nhân dân cấp tỉnh có văn bản trả lời không phê duyệt đơn hàng và nêu rõ lý do; b) Trường hợp không có yêu cầu sửa đổi, bổ sung đối với hồ sơ sửa đổi, bổ sung, Ủy ban nhân dân cấp tỉnh ký duyệt đơn hàng mua trong thời hạn 30 ngày kể từ ngày ghi trên Phiếu tiếp nhận hồ sơ sửa đổi, bổ sung.</w:t>
      </w:r>
    </w:p>
    <w:p w:rsidR="00F941DD" w:rsidRDefault="006E333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F941DD">
        <w:tblPrEx>
          <w:tblCellMar>
            <w:top w:w="0" w:type="dxa"/>
            <w:bottom w:w="0" w:type="dxa"/>
          </w:tblCellMar>
        </w:tblPrEx>
        <w:tc>
          <w:tcPr>
            <w:tcW w:w="15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Hình thức nộp</w:t>
            </w:r>
          </w:p>
        </w:tc>
        <w:tc>
          <w:tcPr>
            <w:tcW w:w="2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Phí, lệ phí</w:t>
            </w:r>
          </w:p>
        </w:tc>
        <w:tc>
          <w:tcPr>
            <w:tcW w:w="3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Mô tả</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Trực tiếp</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30 Ngày</w:t>
            </w:r>
          </w:p>
        </w:tc>
        <w:tc>
          <w:tcPr>
            <w:tcW w:w="0" w:type="auto"/>
          </w:tcPr>
          <w:p w:rsidR="00F941DD" w:rsidRDefault="00F941DD"/>
          <w:p w:rsidR="00F941DD" w:rsidRDefault="00F941DD">
            <w:pPr>
              <w:spacing w:after="0" w:line="276" w:lineRule="auto"/>
            </w:pPr>
          </w:p>
        </w:tc>
        <w:tc>
          <w:tcPr>
            <w:tcW w:w="0" w:type="auto"/>
          </w:tcPr>
          <w:p w:rsidR="00F941DD" w:rsidRDefault="00F941DD"/>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Trực tuyến</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30 Ngày</w:t>
            </w:r>
          </w:p>
        </w:tc>
        <w:tc>
          <w:tcPr>
            <w:tcW w:w="0" w:type="auto"/>
          </w:tcPr>
          <w:p w:rsidR="00F941DD" w:rsidRDefault="00F941DD"/>
          <w:p w:rsidR="00F941DD" w:rsidRDefault="00F941DD">
            <w:pPr>
              <w:spacing w:after="0" w:line="276" w:lineRule="auto"/>
            </w:pPr>
          </w:p>
        </w:tc>
        <w:tc>
          <w:tcPr>
            <w:tcW w:w="0" w:type="auto"/>
          </w:tcPr>
          <w:p w:rsidR="00F941DD" w:rsidRDefault="00F941DD"/>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Dịch vụ bưu chính</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30 Ngày</w:t>
            </w:r>
          </w:p>
        </w:tc>
        <w:tc>
          <w:tcPr>
            <w:tcW w:w="0" w:type="auto"/>
          </w:tcPr>
          <w:p w:rsidR="00F941DD" w:rsidRDefault="00F941DD"/>
          <w:p w:rsidR="00F941DD" w:rsidRDefault="00F941DD">
            <w:pPr>
              <w:spacing w:after="0" w:line="276" w:lineRule="auto"/>
            </w:pPr>
          </w:p>
        </w:tc>
        <w:tc>
          <w:tcPr>
            <w:tcW w:w="0" w:type="auto"/>
          </w:tcPr>
          <w:p w:rsidR="00F941DD" w:rsidRDefault="00F941DD"/>
        </w:tc>
      </w:tr>
    </w:tbl>
    <w:p w:rsidR="00F941DD" w:rsidRDefault="006E333D">
      <w:pPr>
        <w:spacing w:before="240" w:after="0" w:line="276" w:lineRule="auto"/>
        <w:jc w:val="both"/>
      </w:pPr>
      <w:r>
        <w:rPr>
          <w:rFonts w:ascii="Times New Roman" w:eastAsia="Times New Roman" w:hAnsi="Times New Roman" w:cs="Times New Roman"/>
          <w:b/>
          <w:sz w:val="26"/>
        </w:rPr>
        <w:t xml:space="preserve">Thành phần hồ sơ: </w:t>
      </w:r>
    </w:p>
    <w:p w:rsidR="00F941DD" w:rsidRDefault="006E333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1"/>
        <w:gridCol w:w="1452"/>
        <w:gridCol w:w="938"/>
      </w:tblGrid>
      <w:tr w:rsidR="00F941DD">
        <w:tblPrEx>
          <w:tblCellMar>
            <w:top w:w="0" w:type="dxa"/>
            <w:bottom w:w="0" w:type="dxa"/>
          </w:tblCellMar>
        </w:tblPrEx>
        <w:tc>
          <w:tcPr>
            <w:tcW w:w="6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Tên giấy tờ</w:t>
            </w:r>
          </w:p>
        </w:tc>
        <w:tc>
          <w:tcPr>
            <w:tcW w:w="2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Mẫu đơn, tờ khai</w:t>
            </w:r>
          </w:p>
        </w:tc>
        <w:tc>
          <w:tcPr>
            <w:tcW w:w="2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Số lượng</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Đơn hàng mua thuốc gây nghiện, thuốc hướng thần, thuốc  tiền chất, thuốc dạng phối hợp có chứa tiền chất kèm theo Báo cáo xuất - nhập - tồn thuốc</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Mus12.docx</w:t>
            </w:r>
          </w:p>
          <w:p w:rsidR="00F941DD" w:rsidRDefault="006E333D">
            <w:pPr>
              <w:spacing w:after="0" w:line="276" w:lineRule="auto"/>
            </w:pPr>
            <w:r>
              <w:rPr>
                <w:rFonts w:ascii="Times New Roman" w:eastAsia="Times New Roman" w:hAnsi="Times New Roman" w:cs="Times New Roman"/>
                <w:sz w:val="26"/>
              </w:rPr>
              <w:t>Mus13.docx</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Văn bản giải thích rõ lý do khi tổng số lượng thuốc  đề nghị mua và số lượng tồn kho vượt quá 150% so với tổng nhu cầu kinh doanh, sử dụng trong kỳ báo cáo; đối với cơ sở kinh doanh dược phải có tài liệu chứng minh là kết quả trúng thầu đã được phê duyệt hoặc hợp đồng mua bán hoặc hợp đồng nguyên tắc phải kèm đơn đặt hàng có ghi rõ tên thuốc, số lượng thuốc. Cơ sở lần đầu mua thuốc phải có kế hoạch kinh doanh dự kiến đối với  thuốc đề nghị mua.</w:t>
            </w:r>
          </w:p>
        </w:tc>
        <w:tc>
          <w:tcPr>
            <w:tcW w:w="0" w:type="auto"/>
          </w:tcPr>
          <w:p w:rsidR="00F941DD" w:rsidRDefault="00F941DD"/>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941DD" w:rsidRDefault="006E333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F941DD" w:rsidRDefault="006E333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rsidR="00F941DD" w:rsidRDefault="006E333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941DD" w:rsidRDefault="006E333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941DD" w:rsidRDefault="006E333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941DD" w:rsidRDefault="006E333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941DD" w:rsidRDefault="006E333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Đơn hàng mua thuốc được phê duyệt/ Văn bản thông báo kết quả giải quyết hồ sơ.</w:t>
      </w:r>
    </w:p>
    <w:p w:rsidR="00F941DD" w:rsidRDefault="006E333D">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0"/>
        <w:gridCol w:w="5963"/>
        <w:gridCol w:w="731"/>
        <w:gridCol w:w="941"/>
      </w:tblGrid>
      <w:tr w:rsidR="00F941DD">
        <w:tblPrEx>
          <w:tblCellMar>
            <w:top w:w="0" w:type="dxa"/>
            <w:bottom w:w="0" w:type="dxa"/>
          </w:tblCellMar>
        </w:tblPrEx>
        <w:tc>
          <w:tcPr>
            <w:tcW w:w="2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Số ký hiệu</w:t>
            </w:r>
          </w:p>
        </w:tc>
        <w:tc>
          <w:tcPr>
            <w:tcW w:w="35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Trích yếu</w:t>
            </w:r>
          </w:p>
        </w:tc>
        <w:tc>
          <w:tcPr>
            <w:tcW w:w="15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Ngày ban hành</w:t>
            </w:r>
          </w:p>
        </w:tc>
        <w:tc>
          <w:tcPr>
            <w:tcW w:w="3000" w:type="dxa"/>
          </w:tcPr>
          <w:p w:rsidR="00F941DD" w:rsidRDefault="00F941DD"/>
          <w:p w:rsidR="00F941DD" w:rsidRDefault="006E333D">
            <w:pPr>
              <w:spacing w:after="0" w:line="276" w:lineRule="auto"/>
              <w:jc w:val="center"/>
            </w:pPr>
            <w:r>
              <w:rPr>
                <w:rFonts w:ascii="Times New Roman" w:eastAsia="Times New Roman" w:hAnsi="Times New Roman" w:cs="Times New Roman"/>
                <w:b/>
                <w:sz w:val="26"/>
              </w:rPr>
              <w:t>Cơ quan ban hành</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Luật 105/2016/QH13</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105/2016/QH13 Dược</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06-04-2016</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Quốc Hội</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54/2017/NĐ-CP</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Nghị định 54/2017/NĐ-CP</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08-05-2017</w:t>
            </w:r>
          </w:p>
        </w:tc>
        <w:tc>
          <w:tcPr>
            <w:tcW w:w="0" w:type="auto"/>
          </w:tcPr>
          <w:p w:rsidR="00F941DD" w:rsidRDefault="00F941DD"/>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27/2024/TT-BYT</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01-11-2024</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Bộ Y tế</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44/2024/QH15</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Luật số 44/2024/QH15</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21-11-2024</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Quốc Hội</w:t>
            </w:r>
          </w:p>
        </w:tc>
      </w:tr>
      <w:tr w:rsidR="00F941DD">
        <w:tblPrEx>
          <w:tblCellMar>
            <w:top w:w="0" w:type="dxa"/>
            <w:bottom w:w="0" w:type="dxa"/>
          </w:tblCellMar>
        </w:tblPrEx>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163/2025/NĐ-CP</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F941DD" w:rsidRDefault="00F941DD"/>
          <w:p w:rsidR="00F941DD" w:rsidRDefault="006E333D">
            <w:pPr>
              <w:spacing w:after="0" w:line="276" w:lineRule="auto"/>
            </w:pPr>
            <w:r>
              <w:rPr>
                <w:rFonts w:ascii="Times New Roman" w:eastAsia="Times New Roman" w:hAnsi="Times New Roman" w:cs="Times New Roman"/>
                <w:sz w:val="26"/>
              </w:rPr>
              <w:t>29-06-2025</w:t>
            </w:r>
          </w:p>
        </w:tc>
        <w:tc>
          <w:tcPr>
            <w:tcW w:w="0" w:type="auto"/>
          </w:tcPr>
          <w:p w:rsidR="00F941DD" w:rsidRDefault="00F941DD"/>
        </w:tc>
      </w:tr>
    </w:tbl>
    <w:p w:rsidR="00F941DD" w:rsidRDefault="006E333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kinh doanh doanh dược, các cơ sở không thuộc thẩm quyền quản lý của Bộ Công an, Bộ Quốc phòng (trừ trường hợp cơ sở mua thuốc theo kết quả trúng thầu đã được Ủy ban nhân dân tỉnh phê duyệt) là cơ sở kiểm nghiệm thuốc, nguyên liệu làm thuốc của Nhà nước mua thuốc để phục vụ hoạt động kiểm nghiệm thuốc, nguyên liệu làm thuốc tại cơ sở; cơ sở khám bệnh, chữa bệnh, cơ sở tiêm chủng và cơ sở y tế khác, cơ sở cai nghiện ma túy mua thuốc để phục vụ công tác khám bệnh, chữa bệnh tại cơ sở; tổ chức khoa học và</w:t>
      </w:r>
      <w:r>
        <w:rPr>
          <w:rFonts w:ascii="Times New Roman" w:eastAsia="Times New Roman" w:hAnsi="Times New Roman" w:cs="Times New Roman"/>
          <w:sz w:val="26"/>
        </w:rPr>
        <w:t xml:space="preserve"> công nghệ mua thuốc để phục vụ hoạt động nghiên cứu của cơ sở; cơ sở đào tạo có hoạt động nghiên cứu, giảng dạy liên quan đến dược mua thuốc để phục vụ hoạt động nghiên cứu, giảng dạy của cơ sở</w:t>
      </w:r>
    </w:p>
    <w:p w:rsidR="00F941DD" w:rsidRDefault="006E333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941DD" w:rsidRDefault="006E333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F941D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41DD"/>
    <w:rsid w:val="00203ACC"/>
    <w:rsid w:val="006E333D"/>
    <w:rsid w:val="00F94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E4891E-0F10-446A-9973-F6C51BBF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