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1.014090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2278/QĐ-BYT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nhập khẩu thuốc thuộc hành lý cá nhân của tổ chức, cá nhân nhập cảnh gửi theo vận tải đơn, hàng hóa mang theo người của tổ chức, cá nhân nhập cảnh để điều trị bệnh cho bản thân người nhập cảnh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cá nhân đề nghị cấp phép nhập khẩu nộp hồ sơ trực tiếp hoặc qua dịch vụ bưu chính hoặc trực tuyến về Ủy ban nhân dân cấp tỉnh nơi cửa khẩu làm thủ tục nhập cảnh hoặc nơi người bệnh đang sinh sống hoặc tạm trú hợp pháp hoặc nơi tổ chức đặt trụ sở;
Bước 2: Sau khi nhận được hồ sơ, Ủy ban nhân dân cấp tỉnh trả cho tổ chức, cá nhân đề nghị  Phiếu tiếp nhận hồ sơ theo Mẫu số 01 tại Phụ lục I Nghị định số 163/2025/NĐ-CP;
Bước 3: Trường hợp không có yêu cầu sửa đổi, bổ sung hồ sơ, trong thời hạn 07 ngày làm việc kể từ ngày ghi trên Phiếu tiếp nhận hồ sơ, Ủy ban nhân dân cấp tỉnh cấp phép nhập khẩu; Trường hợp có yêu cầu sửa đổi, bổ sung hồ sơ, trong thời hạn 07 ngày làm việc kể từ ngày ghi trên Phiếu tiếp nhận hồ sơ, Ủy ban nhân dân cấp tỉnh gửi văn bản cho tổ chức, cá nhân để yêu cầu sửa đổi, bổ sung hồ sơ theo Mẫu số 16 tại Phụ lục I Nghị định số 163/2025/NĐ-CP;
Bước 4: Sau khi nhận hồ sơ sửa đổi, bổ sung, Ủy ban nhân dân cấp tỉnh trả tổ chức, cá nhân Phiếu tiếp nhận hồ sơ sửa đổi, bổ sung theo Mẫu số 01 tại Phụ lục I Nghị định số 163/2025/NĐ-CP. Trường hợp hồ sơ sửa đổi, bổ sung không đáp ứng yêu cầu, trong thời hạn 07 ngày làm việc kể từ ngày ghi trên Phiếu tiếp nhận hồ sơ, Ủy ban nhân dân cấp tỉnh có văn bản thông báo cho tổ chức, cá nhân về việc không cấp phép nhập khẩu theo Mẫu số 16 tại Phụ lục I Nghị định số 163/2025/NĐ-CP. Trường hợp không có yêu cầu sửa đổi, bổ sung đối với hồ sơ sửa đổi, bổ sung, Ủy ban nhân dân cấp tỉnh cấp phép nhập khẩu theo quy định tại bước 3; Trong thời hạn 03 tháng kể từ ngày Ủy ban nhân dân cấp tỉnh có văn bản thông báo sửa đổi, bổ sung, tổ chức, cá nhân đề nghị cấp phép nhập khẩu phải nộp hồ sơ sửa đổi, bổ sung theo yêu cầu. Sau thời hạn trên, tổ chức, cá nhân không nộp hồ sơ sửa đổi, bổ sung thì hồ sơ đã nộp không còn giá trị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nhập khẩu thuốc theo Mẫu số 27 tại Phụ lục III ban hành kèm theo Nghị định số 163/2025/NĐ-CP;</w:t>
            </w:r>
          </w:p>
        </w:tc>
        <w:tc>
          <w:p/>
          <w:p>
            <w:pPr>
              <w:spacing w:after="0" w:before="0" w:lineRule="auto" w:line="276"/>
              <w:jc w:val="left"/>
            </w:pPr>
            <w:r>
              <w:rPr>
                <w:rFonts w:ascii="Times New Roman" w:hAnsi="Times New Roman" w:cs="Times New Roman" w:eastAsia="Times New Roman"/>
                <w:b w:val="false"/>
                <w:sz w:val="26"/>
              </w:rPr>
              <w:t>Mus27.docx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có chữ ký của người đề nghị cấp phép nhập khẩu đối với đơn thuốc, sổ y bạ theo dõi điều trị ngoại trú. Các giấy tờ này phải có đầy đủ các nội dung sau: Tên, tuổi người bệnh; tên thuốc, hàm lượng hoặc nồng độ và dung tích; số lượng thuốc (hoặc số ngày dùng thuốc); liều dùng; họ tên, chữ ký của thầy thuốc; địa chỉ của bệnh viện, phòng khám nơi thầy thuốc hành nghề; Trường hợp nộp bản sao có chữ ký của người đề nghị cấp phép nhập khẩu hoặc bản sao có đóng dấu của tổ chức đề nghị cấp phép nhập khẩu thì phải xuất trình bản chính để đối chiếu khi nộp hồ sơ. Trường hợp thuốc không phải là thuốc gây nghiện, thuốc hướng thần, thuốc tiền chất và thuộc hàng hóa nhập cảnh của cơ quan đại diện ngoại giao, cơ quan lãnh sự và cơ quan đại diện của tổ chức quốc tế tại Việt Nam hoặc cơ quan đại diện ngoại giao của Việt Nam tại nước ngoài, những người làm việc tại các cơ quan, tổ chức này hoặc các tổ chức được cơ quan đại diện ngoại giao của Việt Nam, cơ quan đại diện ngoại giao của Việt Nam tại nước ngoài giới thiệu thì không phải nộp tài liệu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Văn bản yêu cầu sửa đổi, bổ sung hồ sơ/ Văn bản thông báo cho cơ sở về việc không cấp phép nhập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105/2016/QH13 Dược</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số 44/2024/QH15</w:t>
            </w:r>
          </w:p>
        </w:tc>
        <w:tc>
          <w:p/>
          <w:p>
            <w:pPr>
              <w:spacing w:after="0" w:before="0" w:lineRule="auto" w:line="276"/>
              <w:jc w:val="left"/>
            </w:pPr>
            <w:r>
              <w:rPr>
                <w:rFonts w:ascii="Times New Roman" w:hAnsi="Times New Roman" w:cs="Times New Roman" w:eastAsia="Times New Roman"/>
                <w:b w:val="false"/>
                <w:sz w:val="26"/>
              </w:rPr>
              <w:t>21-11-2024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163/2025/NĐ-CP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29-06-2025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Thuốc được nhập khẩu theo hình thức nhập khẩu không vì mục đích thương mại khi thuộc một trong các trường hợp sau:
a) Thuộc hành lý cá nhân của người nhập cảnh gửi theo vận tải đơn hoặc hàng hóa mang theo người của người nhập cảnh để điều trị bệnh cho bản thân người nhập cảnh;
b) Không phải là thuốc gây nghiện, thuốc hướng thần, thuốc tiền chất và thuộc hàng hóa của cơ quan đại diện ngoại giao, cơ quan lãnh sự và cơ quan đại diện của tổ chức quốc tế tại Việt Nam hoặc cơ quan đại diện ngoại giao của Việt Nam tại nước ngoài, những người làm việc tại các cơ quan, tổ chức này hoặc các tổ chức được cơ quan đại diện ngoại giao của Việt Nam, cơ quan đại diện ngoại giao của Việt Nam tại nước ngoài giới thiệu.
2. Các thuốc quy định tại khoản 1 được nhập khẩu mà không cần cấp phép nhập khẩu khi thuộc một trong các trường hợp sau: 
a) Số lượng nhập khẩu không vượt quá số lượng sử dụng tối đa 07 ngày đối với thuốc gây nghiện hoặc 10 ngày đối với thuốc hướng thần, thuốc tiền chất theo liều dùng ghi trong đơn thuốc kèm theo; 
b) Thuốc nhập khẩu không phải là thuốc gây nghiện, thuốc hướng thần, thuốc tiền chất, có tổng trị giá hải quan không quá 200 (hai trăm) đô-la Mỹ (tính theo tỷ giá tính thuế theo quy định của pháp luật về hải quan tại thời điểm thông quan) 01 lần và số lần nhận thuốc tối đa không quá 03 lần trong 01 năm cho 01 tổ chức, cá nhân. 
Trường hợp thuốc sử dụng cho người bị bệnh thuộc Danh mục bệnh hiểm nghèo quy định tại Nghị định số 134/2016/NĐ-CP ngày 01 tháng 9 năm 2016 của Chính phủ quy định chi tiết một số điều và biện pháp thi hành Luật Thuế xuất khẩu, Thuế nhập khẩu, thuốc có tổng trị giá hải quan không quá 10.000.000 (mười triệu) đồng 01 lần và số lần nhận thuốc tối đa không quá 04 lần trong 01 năm cho 01 cá nhân;
c) Thuốc nhập khẩu không phải là thuốc gây nghiện, thuốc hướng thần, thuốc tiền chất có số lượng nhập khẩu không vượt quá số lượng sử dụng tối đa 30 ngày theo liều dùng ghi trong đơn thuốc.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2025-12-02T12:26:16Z</dcterms:created>
  <dc:creator>Apache POI</dc:creator>
</cp:coreProperties>
</file>