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1.014099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2278/QĐ-BYT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Chứng chỉ hành nghề dược theo hình thức xét hồ sơ trong trường hợp Chứng chỉ hành nghề dược bị ghi sai do lỗi của cơ quan cấp Chứng chỉ hành nghề dược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Dược phẩm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Người đề nghị cấp Chứng chỉ hành nghề dược gửi hồ sơ về Sở Y tế tỉnh, thành phố trực thuộc trung ương.
Bước 2: Sau khi nhận hồ sơ đầy đủ, Sở Y tế trả cho người đề nghị cấp Chứng chỉ hành nghề dược Phiếu tiếp nhận hồ sơ theo Mẫu số 01 Phụ lục I của Nghị định số 163/2025/NĐ-CP;
Bước 3: 
a) Trường hợp không yêu cầu sửa đổi, bổ sung hồ sơ, Sở Y tế cấp Chứng chỉ hành nghề dược cho người đề nghị trong thời hạn 05 ngày làm việc kể từ ngày ghi trên Phiếu tiếp nhận hồ sơ.
b) Trường hợp có yêu cầu sửa đổi, bổ sung hồ sơ, Sở Y tế có văn bản thông báo nội dung yêu cầu sửa đổi, bổ sung theo Mẫu số 16 tại Phụ lục I ban hành kèm theo Nghị định số 163/2025/NĐ-CP gửi cho người đề nghị trong thời hạn 07 ngày làm việc kể từ ngày ghi trên Phiếu tiếp nhận hồ sơ.
Bước 4: 
Sau khi nhận hồ sơ sửa đổi, bổ sung, Sở Y tế trả cho người đề nghị Phiếu tiếp nhận hồ sơ sửa đổi, bổ sung theo Mẫu số 01 tại Phụ lục I ban hành kèm theo Nghị định số 163/2025/NĐ-CP.
a) Trường hợp hồ sơ sửa đổi, bổ sung không đáp ứng yêu cầu, trong thời hạn 07 ngày làm việc kể từ ngày ghi trên Phiếu tiếp nhận hồ sơ sửa đổi, bổ sung, Sở Y tế có văn bản thông báo cho người đề nghị theo Mẫu số 16 tại Phụ lục I ban hành kèm theo Nghị định số 163/2025/NĐ-CP về việc không cấp Chứng chỉ hành nghề dược.
b) Trường hợp không có yêu cầu sửa đổi, bổ sung đối với hồ sơ sửa đổi, bổ sung, Sở Y tế thực hiện theo quy định tại Bước 3.
c) Trong thời hạn 06 tháng kể từ ngày Sở Y tế có văn bản thông báo sửa đổi, bổ sung, người đề nghị cấp Chứng chỉ hành nghề dược phải nộp hồ sơ sửa đổi, bổ sung theo yêu cầu. Sau thời hạn trên, người đề nghị không nộp hồ sơ sửa đổi, bổ sung thì hồ sơ đã nộp không còn giá trị.
Bước 5: Trong thời hạn  03 ngày làm việc kể từ ngày cấp Chứng chỉ hành nghề dược, Sở Y tế  công bố, cập nhật trên Trang thông tin điện tử của Sở Y tế các thông tin sau:
a) Họ, tên, ngày tháng năm sinh của người được cấp Chứng chỉ hành nghề dược;
b) Số Chứng chỉ hành nghề dược của người được cấp Chứng chỉ hành nghề dược;
c) Phạm vi hoạt động chuyên môn được cấp trên Chứng chỉ hành nghề dược.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Chứng chỉ hành nghề dược, có ảnh chân dung của người đề nghị được chụp trong thời gian không quá 06 tháng.</w:t>
            </w:r>
          </w:p>
        </w:tc>
        <w:tc>
          <w:p/>
          <w:p>
            <w:pPr>
              <w:spacing w:after="0" w:before="0" w:lineRule="auto" w:line="276"/>
              <w:jc w:val="left"/>
            </w:pPr>
            <w:r>
              <w:rPr>
                <w:rFonts w:ascii="Times New Roman" w:hAnsi="Times New Roman" w:cs="Times New Roman" w:eastAsia="Times New Roman"/>
                <w:b w:val="false"/>
                <w:sz w:val="26"/>
              </w:rPr>
              <w:t>Mus02.docx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Chứng chỉ hành nghề dược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105/2016/QH13</w:t>
            </w:r>
          </w:p>
        </w:tc>
        <w:tc>
          <w:p/>
          <w:p>
            <w:pPr>
              <w:spacing w:after="0" w:before="0" w:lineRule="auto" w:line="276"/>
              <w:jc w:val="left"/>
            </w:pPr>
            <w:r>
              <w:rPr>
                <w:rFonts w:ascii="Times New Roman" w:hAnsi="Times New Roman" w:cs="Times New Roman" w:eastAsia="Times New Roman"/>
                <w:b w:val="false"/>
                <w:sz w:val="26"/>
              </w:rPr>
              <w:t>1. Luật dược số 105/2016/QH13 ngày 06 tháng 4 năm 2016.</w:t>
            </w:r>
          </w:p>
        </w:tc>
        <w:tc>
          <w:p/>
          <w:p>
            <w:pPr>
              <w:spacing w:after="0" w:before="0" w:lineRule="auto" w:line="276"/>
              <w:jc w:val="left"/>
            </w:pPr>
            <w:r>
              <w:rPr>
                <w:rFonts w:ascii="Times New Roman" w:hAnsi="Times New Roman" w:cs="Times New Roman" w:eastAsia="Times New Roman"/>
                <w:b w:val="false"/>
                <w:sz w:val="26"/>
              </w:rPr>
              <w:t>06-04-2016</w:t>
            </w:r>
          </w:p>
        </w:tc>
        <w:tc>
          <w:p/>
        </w:tc>
      </w:tr>
      <w:tr>
        <w:tc>
          <w:p/>
          <w:p>
            <w:pPr>
              <w:spacing w:after="0" w:before="0" w:lineRule="auto" w:line="276"/>
              <w:jc w:val="left"/>
            </w:pPr>
            <w:r>
              <w:rPr>
                <w:rFonts w:ascii="Times New Roman" w:hAnsi="Times New Roman" w:cs="Times New Roman" w:eastAsia="Times New Roman"/>
                <w:b w:val="false"/>
                <w:sz w:val="26"/>
              </w:rPr>
              <w:t>44/2024/QH15</w:t>
            </w:r>
          </w:p>
        </w:tc>
        <w:tc>
          <w:p/>
          <w:p>
            <w:pPr>
              <w:spacing w:after="0" w:before="0" w:lineRule="auto" w:line="276"/>
              <w:jc w:val="left"/>
            </w:pPr>
            <w:r>
              <w:rPr>
                <w:rFonts w:ascii="Times New Roman" w:hAnsi="Times New Roman" w:cs="Times New Roman" w:eastAsia="Times New Roman"/>
                <w:b w:val="false"/>
                <w:sz w:val="26"/>
              </w:rPr>
              <w:t>Luật số 44/2024/QH15</w:t>
            </w:r>
          </w:p>
        </w:tc>
        <w:tc>
          <w:p/>
          <w:p>
            <w:pPr>
              <w:spacing w:after="0" w:before="0" w:lineRule="auto" w:line="276"/>
              <w:jc w:val="left"/>
            </w:pPr>
            <w:r>
              <w:rPr>
                <w:rFonts w:ascii="Times New Roman" w:hAnsi="Times New Roman" w:cs="Times New Roman" w:eastAsia="Times New Roman"/>
                <w:b w:val="false"/>
                <w:sz w:val="26"/>
              </w:rPr>
              <w:t>21-11-2024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163/2025/NĐ-CP</w:t>
            </w:r>
          </w:p>
        </w:tc>
        <w:tc>
          <w:p/>
          <w:p>
            <w:pPr>
              <w:spacing w:after="0" w:before="0" w:lineRule="auto" w:line="276"/>
              <w:jc w:val="left"/>
            </w:pPr>
            <w:r>
              <w:rPr>
                <w:rFonts w:ascii="Times New Roman" w:hAnsi="Times New Roman" w:cs="Times New Roman" w:eastAsia="Times New Roman"/>
                <w:b w:val="false"/>
                <w:sz w:val="26"/>
              </w:rPr>
              <w:t>Nghị định của Chính phủ quy định chi tiết một số điều và biện pháp thi hành Luật dược</w:t>
            </w:r>
          </w:p>
        </w:tc>
        <w:tc>
          <w:p/>
          <w:p>
            <w:pPr>
              <w:spacing w:after="0" w:before="0" w:lineRule="auto" w:line="276"/>
              <w:jc w:val="left"/>
            </w:pPr>
            <w:r>
              <w:rPr>
                <w:rFonts w:ascii="Times New Roman" w:hAnsi="Times New Roman" w:cs="Times New Roman" w:eastAsia="Times New Roman"/>
                <w:b w:val="false"/>
                <w:sz w:val="26"/>
              </w:rPr>
              <w:t>29-06-2025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Chứng chỉ hành nghề dược đã được cấp bị ghi sai do lỗi của cơ quan cấp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https://thutuc.dichvucong.gov.vn/p/home/dvc-tthc-thu-tuc-hanh-chinh-chi-tiet.html?ma_thu_tuc=406931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2025-12-02T12:26:14Z</dcterms:created>
  <dc:creator>Apache POI</dc:creator>
</cp:coreProperties>
</file>