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3D55" w:rsidRDefault="00177AE4">
      <w:pPr>
        <w:spacing w:after="300" w:line="276" w:lineRule="auto"/>
        <w:jc w:val="center"/>
      </w:pPr>
      <w:r>
        <w:rPr>
          <w:rFonts w:ascii="Times New Roman" w:eastAsia="Times New Roman" w:hAnsi="Times New Roman" w:cs="Times New Roman"/>
          <w:b/>
          <w:sz w:val="26"/>
        </w:rPr>
        <w:t>Chi tiết thủ tục hành chính</w:t>
      </w:r>
    </w:p>
    <w:p w:rsidR="00233D55" w:rsidRDefault="00177AE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1.014105</w:t>
      </w:r>
    </w:p>
    <w:p w:rsidR="00233D55" w:rsidRDefault="00177AE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233D55" w:rsidRDefault="00177AE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xuất khẩu thuốc phải kiểm soát đặc biệt thuộc hành lý cá nhân của tổ chức, cá nhân xuất cảnh gửi theo vận tải đơn, hàng hóa mang theo người của tổ chức, cá nhân xuất cảnh để điều trị bệnh cho bản thân người xuất cảnh và không phải là nguyên liệu làm thuốc phải kiểm soát đặc biệt</w:t>
      </w:r>
    </w:p>
    <w:p w:rsidR="00233D55" w:rsidRDefault="00177AE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233D55" w:rsidRDefault="00177AE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33D55" w:rsidRDefault="00177AE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233D55" w:rsidRDefault="00177AE4">
      <w:pPr>
        <w:spacing w:after="0" w:line="276" w:lineRule="auto"/>
        <w:jc w:val="both"/>
      </w:pPr>
      <w:r>
        <w:rPr>
          <w:rFonts w:ascii="Times New Roman" w:eastAsia="Times New Roman" w:hAnsi="Times New Roman" w:cs="Times New Roman"/>
          <w:b/>
          <w:sz w:val="26"/>
        </w:rPr>
        <w:t xml:space="preserve">Trình tự thực hiện: </w:t>
      </w:r>
    </w:p>
    <w:p w:rsidR="00233D55" w:rsidRDefault="00233D55">
      <w:pPr>
        <w:shd w:val="clear" w:color="auto" w:fill="F2F6F9"/>
        <w:spacing w:before="120" w:after="0" w:line="276" w:lineRule="auto"/>
        <w:jc w:val="both"/>
      </w:pPr>
    </w:p>
    <w:p w:rsidR="00233D55" w:rsidRDefault="00177AE4">
      <w:pPr>
        <w:spacing w:after="0" w:line="276" w:lineRule="auto"/>
        <w:jc w:val="both"/>
      </w:pPr>
      <w:r>
        <w:rPr>
          <w:rFonts w:ascii="Times New Roman" w:eastAsia="Times New Roman" w:hAnsi="Times New Roman" w:cs="Times New Roman"/>
          <w:sz w:val="26"/>
        </w:rPr>
        <w:t>Bước 1: Tổ chức, cá nhân đề nghị cấp phép xuất khẩu nộp hồ sơ trực tiếp hoặc qua dịch vụ bưu chính hoặc trực tuyến về Ủy ban nhân dân cấp tỉnh nơi cửa khẩu làm thủ tục xuất cảnh hoặc nơi người bệnh đang sinh sống, tạm trú hợp pháp hoặc nơi tổ chức đặt trụ sở; Bước 2: Sau khi nhận được hồ sơ, Ủy ban nhân dân cấp tỉnh trả cho tổ chức, cá nhân đề nghị Phiếu tiếp nhận hồ sơ theo Mẫu số 01 tại Phụ lục I của Nghị định số 163/2025/NĐ-CP; Bước 3: Trường hợp không có yêu cầu sửa đổi, bổ sung hồ sơ, Ủy ban nhân dân c</w:t>
      </w:r>
      <w:r>
        <w:rPr>
          <w:rFonts w:ascii="Times New Roman" w:eastAsia="Times New Roman" w:hAnsi="Times New Roman" w:cs="Times New Roman"/>
          <w:sz w:val="26"/>
        </w:rPr>
        <w:t>ấp tỉnh cấp phép xuất khẩu trong thời hạn 07 ngày làm việc kể từ ngày ghi trên Phiếu tiếp nhận hồ sơ. Trường hợp có yêu cầu sửa đổi, bổ sung hồ sơ, Ủy ban nhân dân cấp tỉnh có văn bản trả lời theo Mẫu số 16 tại Phụ lục I của Nghị định số 163/2025/NĐ-CP để yêu cầu sửa đổi, bổ sung hồ sơ trong thời hạn 05 ngày làm việc kể từ ngày ghi trên Phiếu tiếp nhận hồ sơ; Bước 4: Sau khi nhận hồ sơ sửa đổi, bổ sung, Ủy ban nhân dân cấp tỉnh trả tổ chức, cá nhân Phiếu tiếp nhận hồ sơ sửa đổi, bổ sung theo Mẫu số 01 tại P</w:t>
      </w:r>
      <w:r>
        <w:rPr>
          <w:rFonts w:ascii="Times New Roman" w:eastAsia="Times New Roman" w:hAnsi="Times New Roman" w:cs="Times New Roman"/>
          <w:sz w:val="26"/>
        </w:rPr>
        <w:t>hụ lục I của Nghị định số 163/2025/NĐ-CP. Trường hợp hồ sơ sửa đổi, bổ sung không đáp ứng yêu cầu, Ủy ban nhân dân cấp tỉnh có văn bản trả lời và nêu rõ lý do không cấp phép xuất khẩu theo Mẫu số 16 tại Phụ lục I của Nghị định số 163/2025/NĐ-CP trong thời hạn 05 ngày làm việc kể từ ngày ghi trên Phiếu tiếp nhận hồ sơ. Trường hợp không có yêu cầu sửa đổi, bổ sung đối với hồ sơ sửa đổi, bổ sung, Ủy ban nhân dân cấp tỉnh cấp phép xuất khẩu theo quy định tại bước 3. Trong thời hạn 03 tháng kể từ ngày Ủy ban nhâ</w:t>
      </w:r>
      <w:r>
        <w:rPr>
          <w:rFonts w:ascii="Times New Roman" w:eastAsia="Times New Roman" w:hAnsi="Times New Roman" w:cs="Times New Roman"/>
          <w:sz w:val="26"/>
        </w:rPr>
        <w:t>n dân cấp tỉnh có văn bản thông báo sửa đổi, bổ sung, tổ chức, cá nhân đề nghị cấp phép xuất khẩu phải nộp hồ sơ sửa đổi, bổ sung theo yêu cầu. Sau thời hạn trên, tổ chức, cá nhân không nộp hồ sơ sửa đổi, bổ sung thì hồ sơ đã nộp không còn giá trị.</w:t>
      </w:r>
    </w:p>
    <w:p w:rsidR="00233D55" w:rsidRDefault="00177AE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79"/>
        <w:gridCol w:w="1022"/>
        <w:gridCol w:w="1311"/>
        <w:gridCol w:w="6099"/>
      </w:tblGrid>
      <w:tr w:rsidR="00233D55">
        <w:tblPrEx>
          <w:tblCellMar>
            <w:top w:w="0" w:type="dxa"/>
            <w:bottom w:w="0" w:type="dxa"/>
          </w:tblCellMar>
        </w:tblPrEx>
        <w:tc>
          <w:tcPr>
            <w:tcW w:w="15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 xml:space="preserve">Hình thức </w:t>
            </w:r>
            <w:r>
              <w:rPr>
                <w:rFonts w:ascii="Times New Roman" w:eastAsia="Times New Roman" w:hAnsi="Times New Roman" w:cs="Times New Roman"/>
                <w:b/>
                <w:sz w:val="26"/>
              </w:rPr>
              <w:lastRenderedPageBreak/>
              <w:t>nộp</w:t>
            </w:r>
          </w:p>
        </w:tc>
        <w:tc>
          <w:tcPr>
            <w:tcW w:w="20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Phí, lệ phí</w:t>
            </w:r>
          </w:p>
        </w:tc>
        <w:tc>
          <w:tcPr>
            <w:tcW w:w="30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Mô tả</w:t>
            </w:r>
          </w:p>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Trực tiếp</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 xml:space="preserve"> </w:t>
            </w:r>
          </w:p>
        </w:tc>
        <w:tc>
          <w:tcPr>
            <w:tcW w:w="0" w:type="auto"/>
          </w:tcPr>
          <w:p w:rsidR="00233D55" w:rsidRDefault="00233D55"/>
          <w:p w:rsidR="00233D55" w:rsidRDefault="00233D55">
            <w:pPr>
              <w:spacing w:after="0" w:line="276" w:lineRule="auto"/>
            </w:pP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07 ngày làm việc đối với trường hợp không có yêu cầu sửa đổi, bổ sung hồ sơ. 05 ngày làm việc đối với trường hợp yêu cầu sửa đổi, bổ sung hồ sơ hoặc trường hợp không cấp phép xuất khẩu.</w:t>
            </w:r>
          </w:p>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Trực tuyến</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 xml:space="preserve"> </w:t>
            </w:r>
          </w:p>
        </w:tc>
        <w:tc>
          <w:tcPr>
            <w:tcW w:w="0" w:type="auto"/>
          </w:tcPr>
          <w:p w:rsidR="00233D55" w:rsidRDefault="00233D55"/>
          <w:p w:rsidR="00233D55" w:rsidRDefault="00233D55">
            <w:pPr>
              <w:spacing w:after="0" w:line="276" w:lineRule="auto"/>
            </w:pP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07 ngày làm việc đối với trường hợp không có yêu cầu sửa đổi, bổ sung hồ sơ. 05 ngày làm việc đối với trường hợp yêu cầu sửa đổi, bổ sung hồ sơ hoặc trường hợp không cấp phép xuất khẩu.</w:t>
            </w:r>
          </w:p>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Dịch vụ bưu chính</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 xml:space="preserve"> </w:t>
            </w:r>
          </w:p>
        </w:tc>
        <w:tc>
          <w:tcPr>
            <w:tcW w:w="0" w:type="auto"/>
          </w:tcPr>
          <w:p w:rsidR="00233D55" w:rsidRDefault="00233D55"/>
          <w:p w:rsidR="00233D55" w:rsidRDefault="00233D55">
            <w:pPr>
              <w:spacing w:after="0" w:line="276" w:lineRule="auto"/>
            </w:pP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07 ngày làm việc đối với trường hợp không có yêu cầu sửa đổi, bổ sung hồ sơ. 05 ngày làm việc đối với trường hợp yêu cầu sửa đổi, bổ sung hồ sơ hoặc trường hợp không cấp phép xuất khẩu.</w:t>
            </w:r>
          </w:p>
        </w:tc>
      </w:tr>
    </w:tbl>
    <w:p w:rsidR="00233D55" w:rsidRDefault="00177AE4">
      <w:pPr>
        <w:spacing w:before="240" w:after="0" w:line="276" w:lineRule="auto"/>
        <w:jc w:val="both"/>
      </w:pPr>
      <w:r>
        <w:rPr>
          <w:rFonts w:ascii="Times New Roman" w:eastAsia="Times New Roman" w:hAnsi="Times New Roman" w:cs="Times New Roman"/>
          <w:b/>
          <w:sz w:val="26"/>
        </w:rPr>
        <w:t xml:space="preserve">Thành phần hồ sơ: </w:t>
      </w:r>
    </w:p>
    <w:p w:rsidR="00233D55" w:rsidRDefault="00177AE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022"/>
        <w:gridCol w:w="1451"/>
        <w:gridCol w:w="938"/>
      </w:tblGrid>
      <w:tr w:rsidR="00233D55">
        <w:tblPrEx>
          <w:tblCellMar>
            <w:top w:w="0" w:type="dxa"/>
            <w:bottom w:w="0" w:type="dxa"/>
          </w:tblCellMar>
        </w:tblPrEx>
        <w:tc>
          <w:tcPr>
            <w:tcW w:w="60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Tên giấy tờ</w:t>
            </w:r>
          </w:p>
        </w:tc>
        <w:tc>
          <w:tcPr>
            <w:tcW w:w="20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Mẫu đơn, tờ khai</w:t>
            </w:r>
          </w:p>
        </w:tc>
        <w:tc>
          <w:tcPr>
            <w:tcW w:w="20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Số lượng</w:t>
            </w:r>
          </w:p>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Đơn đề nghị xuất khẩu thuốc</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Mus07.docx</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 xml:space="preserve">Bản sao đơn thuốc, sổ y bạ theo dõi điều trị ngoại trú có chứng thực hoặc có chữ ký của người đề nghị hoặc có đóng dấu của tổ chức đề nghị. Các giấy tờ này phải có đầy đủ các nội dung sau: Tên, tuổi người bệnh; tên thuốc, hàm lượng hoặc nồng độ và dung tích; số lượng thuốc (hoặc số ngày dùng thuốc); liều dùng; họ tên, chữ ký của thầy thuốc; địa chỉ của bệnh viện, phòng khám nơi thầy thuốc hành nghề. Trường hợp bản sao có chữ ký của người đề nghị hoặc đóng dấu của tổ chức đề nghị thì phải kèm xuất trình bản </w:t>
            </w:r>
            <w:r>
              <w:rPr>
                <w:rFonts w:ascii="Times New Roman" w:eastAsia="Times New Roman" w:hAnsi="Times New Roman" w:cs="Times New Roman"/>
                <w:sz w:val="26"/>
              </w:rPr>
              <w:lastRenderedPageBreak/>
              <w:t>chính để đối chiếu khi nộp hồ sơ. Các giấy tờ này nếu không được thể hiện bằng tiếng Việt hoặc tiếng Anh thì phải nộp thêm bản dịch của tài liệu đó ra tiếng Việt hoặc tiếng Anh và bản dịch được chứng thực chữ ký người dịch theo quy định.</w:t>
            </w:r>
          </w:p>
        </w:tc>
        <w:tc>
          <w:tcPr>
            <w:tcW w:w="0" w:type="auto"/>
          </w:tcPr>
          <w:p w:rsidR="00233D55" w:rsidRDefault="00233D55"/>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233D55" w:rsidRDefault="00177AE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rsidR="00233D55" w:rsidRDefault="00177AE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w:t>
      </w:r>
    </w:p>
    <w:p w:rsidR="00233D55" w:rsidRDefault="00177AE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33D55" w:rsidRDefault="00177AE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33D55" w:rsidRDefault="00177AE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33D55" w:rsidRDefault="00177AE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33D55" w:rsidRDefault="00177AE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khẩu/Văn bản yêu cầu sửa đổi, bổ sung hồ sơ/Văn bản trả lời không cấp phép xuất khẩu.</w:t>
      </w:r>
    </w:p>
    <w:p w:rsidR="00233D55" w:rsidRDefault="00177AE4">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90"/>
        <w:gridCol w:w="5963"/>
        <w:gridCol w:w="731"/>
        <w:gridCol w:w="941"/>
      </w:tblGrid>
      <w:tr w:rsidR="00233D55">
        <w:tblPrEx>
          <w:tblCellMar>
            <w:top w:w="0" w:type="dxa"/>
            <w:bottom w:w="0" w:type="dxa"/>
          </w:tblCellMar>
        </w:tblPrEx>
        <w:tc>
          <w:tcPr>
            <w:tcW w:w="20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Số ký hiệu</w:t>
            </w:r>
          </w:p>
        </w:tc>
        <w:tc>
          <w:tcPr>
            <w:tcW w:w="35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Trích yếu</w:t>
            </w:r>
          </w:p>
        </w:tc>
        <w:tc>
          <w:tcPr>
            <w:tcW w:w="15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Ngày ban hành</w:t>
            </w:r>
          </w:p>
        </w:tc>
        <w:tc>
          <w:tcPr>
            <w:tcW w:w="3000" w:type="dxa"/>
          </w:tcPr>
          <w:p w:rsidR="00233D55" w:rsidRDefault="00233D55"/>
          <w:p w:rsidR="00233D55" w:rsidRDefault="00177AE4">
            <w:pPr>
              <w:spacing w:after="0" w:line="276" w:lineRule="auto"/>
              <w:jc w:val="center"/>
            </w:pPr>
            <w:r>
              <w:rPr>
                <w:rFonts w:ascii="Times New Roman" w:eastAsia="Times New Roman" w:hAnsi="Times New Roman" w:cs="Times New Roman"/>
                <w:b/>
                <w:sz w:val="26"/>
              </w:rPr>
              <w:t>Cơ quan ban hành</w:t>
            </w:r>
          </w:p>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Luật 105/2016/QH13</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105/2016/QH13 Dược</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06-04-2016</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Quốc Hội</w:t>
            </w:r>
          </w:p>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06/2017/TT-BYT</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Thông tư 06/2017/TT-BYT</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03-05-2017</w:t>
            </w:r>
          </w:p>
        </w:tc>
        <w:tc>
          <w:tcPr>
            <w:tcW w:w="0" w:type="auto"/>
          </w:tcPr>
          <w:p w:rsidR="00233D55" w:rsidRDefault="00233D55"/>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27/2024/TT-BYT</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01-11-2024</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Bộ Y tế</w:t>
            </w:r>
          </w:p>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44/2024/QH15</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Luật số 44/2024/QH15</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21-11-2024</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Quốc Hội</w:t>
            </w:r>
          </w:p>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163/2025/NĐ-CP</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29-06-2025</w:t>
            </w:r>
          </w:p>
        </w:tc>
        <w:tc>
          <w:tcPr>
            <w:tcW w:w="0" w:type="auto"/>
          </w:tcPr>
          <w:p w:rsidR="00233D55" w:rsidRDefault="00233D55"/>
        </w:tc>
      </w:tr>
      <w:tr w:rsidR="00233D55">
        <w:tblPrEx>
          <w:tblCellMar>
            <w:top w:w="0" w:type="dxa"/>
            <w:bottom w:w="0" w:type="dxa"/>
          </w:tblCellMar>
        </w:tblPrEx>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3235/QĐ-BYT</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Quyết định của Bộ trưởng Bộ Y tế công bố danh mục thuốc, dược chất thuộc danh mục chất bị cấm sử dụng trong một số ngành, lĩnh vực</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01-11-2024</w:t>
            </w:r>
          </w:p>
        </w:tc>
        <w:tc>
          <w:tcPr>
            <w:tcW w:w="0" w:type="auto"/>
          </w:tcPr>
          <w:p w:rsidR="00233D55" w:rsidRDefault="00233D55"/>
          <w:p w:rsidR="00233D55" w:rsidRDefault="00177AE4">
            <w:pPr>
              <w:spacing w:after="0" w:line="276" w:lineRule="auto"/>
            </w:pPr>
            <w:r>
              <w:rPr>
                <w:rFonts w:ascii="Times New Roman" w:eastAsia="Times New Roman" w:hAnsi="Times New Roman" w:cs="Times New Roman"/>
                <w:sz w:val="26"/>
              </w:rPr>
              <w:t>Bộ Y tế</w:t>
            </w:r>
          </w:p>
        </w:tc>
      </w:tr>
    </w:tbl>
    <w:p w:rsidR="00233D55" w:rsidRDefault="00177AE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Điều kiện thực hiện thủ tục hành chính (nếu có):  1. Thuốc phải kiểm soát đặc biệt được xuất khẩu không vì mục đích thương mại phải là thuốc được cấp phép lưu hành tại Việt Nam và thuộc hành lý cá nhân của tổ chức, cá nhân xuất cảnh gửi theo vận tải đơn, hàng hóa mang theo người của tổ chức, cá nhân xuất cảnh để điều trị bệnh cho bản thân người xuất cảnh và không phải là nguyên liệu làm thuốc phải kiểm soát đặc biệt;  2. Thuốc có số lượng thuốc vượt quá: a) 07 ngày sử dụng đối với thuốc gây nghiện </w:t>
      </w:r>
      <w:r>
        <w:rPr>
          <w:rFonts w:ascii="Times New Roman" w:eastAsia="Times New Roman" w:hAnsi="Times New Roman" w:cs="Times New Roman"/>
          <w:sz w:val="26"/>
        </w:rPr>
        <w:t>theo liều dùng ghi trong đơn thuốc kèm theo; b) 10 ngày sử dụng đối với thuốc hướng thần, thuốc tiền chất theo liều dùng ghi trong đơn thuốc kèm theo; c) 30 ngày sử dụng đối với thuốc dạng phối hợp có chứa dược chất gây nghiện, thuốc dạng phối hợp có chứa dược chất hướng thần, thuốc dạng phối hợp có chứa tiền chất, thuốc độc, thuốc trong danh mục thuốc, dược chất thuộc danh mục chất bị cấm sử dụng trong một số ngành, lĩnh vực theo liều dùng ghi trong đơn thuốc kèm theo.  3. Đơn vị đề nghị là cá nhân người x</w:t>
      </w:r>
      <w:r>
        <w:rPr>
          <w:rFonts w:ascii="Times New Roman" w:eastAsia="Times New Roman" w:hAnsi="Times New Roman" w:cs="Times New Roman"/>
          <w:sz w:val="26"/>
        </w:rPr>
        <w:t>uất cảnh hoặc tổ chức xuất cảnh.</w:t>
      </w:r>
    </w:p>
    <w:p w:rsidR="00233D55" w:rsidRDefault="00177AE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33D55" w:rsidRDefault="00177AE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https://thutuc.dichvucong.gov.vn/p/home/dvc-tthc-thu-tuc-hanh-chinh-chi-tiet.html?ma_thu_tuc=406870</w:t>
      </w:r>
    </w:p>
    <w:sectPr w:rsidR="00233D5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33D55"/>
    <w:rsid w:val="00177AE4"/>
    <w:rsid w:val="00233D55"/>
    <w:rsid w:val="009A0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C9887F-7BB0-433F-84A8-BD22E37D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960</Words>
  <Characters>5476</Characters>
  <Application>Microsoft Office Word</Application>
  <DocSecurity>0</DocSecurity>
  <Lines>45</Lines>
  <Paragraphs>12</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