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2E1A" w:rsidRDefault="007073EA">
      <w:pPr>
        <w:spacing w:after="300" w:line="276" w:lineRule="auto"/>
        <w:jc w:val="center"/>
      </w:pPr>
      <w:r>
        <w:rPr>
          <w:rFonts w:ascii="Times New Roman" w:eastAsia="Times New Roman" w:hAnsi="Times New Roman" w:cs="Times New Roman"/>
          <w:b/>
          <w:sz w:val="26"/>
        </w:rPr>
        <w:t>Chi tiết thủ tục hành chính</w:t>
      </w:r>
    </w:p>
    <w:p w:rsidR="00D92E1A" w:rsidRDefault="007073E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1.014107</w:t>
      </w:r>
    </w:p>
    <w:p w:rsidR="00D92E1A" w:rsidRDefault="007073E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D92E1A" w:rsidRDefault="007073E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dược chất, dược liệu, bán thành phẩm thuốc, bán thành phẩm dược liệu, tá dược, vỏ nang để kiểm nghiệm, nghiên cứu thuốc hoặc pha chế thuốc tại cơ sở khám bệnh, chữa bệnh, trừ nguyên liệu làm thuốc phải kiểm soát đặc biệt</w:t>
      </w:r>
    </w:p>
    <w:p w:rsidR="00D92E1A" w:rsidRDefault="007073E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D92E1A" w:rsidRDefault="007073E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92E1A" w:rsidRDefault="007073E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D92E1A" w:rsidRDefault="007073EA">
      <w:pPr>
        <w:spacing w:after="0" w:line="276" w:lineRule="auto"/>
        <w:jc w:val="both"/>
      </w:pPr>
      <w:r>
        <w:rPr>
          <w:rFonts w:ascii="Times New Roman" w:eastAsia="Times New Roman" w:hAnsi="Times New Roman" w:cs="Times New Roman"/>
          <w:b/>
          <w:sz w:val="26"/>
        </w:rPr>
        <w:t xml:space="preserve">Trình tự thực hiện: </w:t>
      </w:r>
    </w:p>
    <w:p w:rsidR="00D92E1A" w:rsidRDefault="00D92E1A">
      <w:pPr>
        <w:shd w:val="clear" w:color="auto" w:fill="F2F6F9"/>
        <w:spacing w:before="120" w:after="0" w:line="276" w:lineRule="auto"/>
        <w:jc w:val="both"/>
      </w:pPr>
    </w:p>
    <w:p w:rsidR="00D92E1A" w:rsidRDefault="007073EA">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dược chất, bán thành phẩm thuốc, tá dược, vỏ nang, bán thành phẩm dược liệu; - Cục Quản lý Y, Dược cổ truyền đối với dược liệu.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trong thời hạ</w:t>
      </w:r>
      <w:r>
        <w:rPr>
          <w:rFonts w:ascii="Times New Roman" w:eastAsia="Times New Roman" w:hAnsi="Times New Roman" w:cs="Times New Roman"/>
          <w:sz w:val="26"/>
        </w:rPr>
        <w:t>n 15 ngày kể từ ngày ghi trên Phiếu tiếp nhận hồ sơ, Cục Quản lý Dược/ Cục Quản lý Y, Dược cổ truyền cấp phép nhập khẩu; Trường hợp có yêu cầu sửa đổi, bổ sung hồ sơ, trong thời hạn 15 ngày kể từ ngày ghi trên Phiếu tiếp nhận hồ sơ, Cục Quản lý Dược/ Cục Quản lý Y, Dược cổ truyền gửi văn bản cho cơ sở để yêu cầu sửa đổi, bổ sung hồ sơ theo Mẫu số 16 tại Phụ lục I ban hành kèm theo Nghị định số 163/2025/NĐ-CP; Trong thời hạn 06 tháng kể từ ngày cơ quan tiếp nhận hồ sơ có văn bản thông báo sửa đổi, bổ sung, c</w:t>
      </w:r>
      <w:r>
        <w:rPr>
          <w:rFonts w:ascii="Times New Roman" w:eastAsia="Times New Roman" w:hAnsi="Times New Roman" w:cs="Times New Roman"/>
          <w:sz w:val="26"/>
        </w:rPr>
        <w:t>ơ sở đề nghị cấp phép nhập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trong thời hạn 15 ngày kể từ ngày ghi trên Phiếu tiếp nhận hồ sơ</w:t>
      </w:r>
      <w:r>
        <w:rPr>
          <w:rFonts w:ascii="Times New Roman" w:eastAsia="Times New Roman" w:hAnsi="Times New Roman" w:cs="Times New Roman"/>
          <w:sz w:val="26"/>
        </w:rPr>
        <w:t>, Cục Quản lý Dược/ Cục Quản lý Y, Dược cổ truyền có văn bản thông báo cho cơ sở về việc không cấp phép nhập khẩu theo Mẫu số 16 tại Phụ lục I ban hành kèm theo Nghị định số 163/2025/NĐ-CP. Trường hợp không có yêu cầu sửa đổi, bổ sung đối với hồ sơ sửa đổi, bổ sung, Cục Quản lý Dược/ Cục Quản lý Y, Dược cổ truyền cấp phép nhập khẩu theo bước 3.</w:t>
      </w:r>
    </w:p>
    <w:p w:rsidR="00D92E1A" w:rsidRDefault="007073E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D92E1A">
        <w:tblPrEx>
          <w:tblCellMar>
            <w:top w:w="0" w:type="dxa"/>
            <w:bottom w:w="0" w:type="dxa"/>
          </w:tblCellMar>
        </w:tblPrEx>
        <w:tc>
          <w:tcPr>
            <w:tcW w:w="15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Hình thức nộp</w:t>
            </w:r>
          </w:p>
        </w:tc>
        <w:tc>
          <w:tcPr>
            <w:tcW w:w="2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Phí, lệ phí</w:t>
            </w:r>
          </w:p>
        </w:tc>
        <w:tc>
          <w:tcPr>
            <w:tcW w:w="3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Mô tả</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Trực tiếp</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15 Ngày</w:t>
            </w:r>
          </w:p>
        </w:tc>
        <w:tc>
          <w:tcPr>
            <w:tcW w:w="0" w:type="auto"/>
          </w:tcPr>
          <w:p w:rsidR="00D92E1A" w:rsidRDefault="00D92E1A"/>
          <w:p w:rsidR="00D92E1A" w:rsidRDefault="00D92E1A">
            <w:pPr>
              <w:spacing w:after="0" w:line="276" w:lineRule="auto"/>
            </w:pPr>
          </w:p>
        </w:tc>
        <w:tc>
          <w:tcPr>
            <w:tcW w:w="0" w:type="auto"/>
          </w:tcPr>
          <w:p w:rsidR="00D92E1A" w:rsidRDefault="00D92E1A"/>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Trực tuyến</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15 Ngày</w:t>
            </w:r>
          </w:p>
        </w:tc>
        <w:tc>
          <w:tcPr>
            <w:tcW w:w="0" w:type="auto"/>
          </w:tcPr>
          <w:p w:rsidR="00D92E1A" w:rsidRDefault="00D92E1A"/>
          <w:p w:rsidR="00D92E1A" w:rsidRDefault="00D92E1A">
            <w:pPr>
              <w:spacing w:after="0" w:line="276" w:lineRule="auto"/>
            </w:pPr>
          </w:p>
        </w:tc>
        <w:tc>
          <w:tcPr>
            <w:tcW w:w="0" w:type="auto"/>
          </w:tcPr>
          <w:p w:rsidR="00D92E1A" w:rsidRDefault="00D92E1A"/>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Dịch vụ bưu chính</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15 Ngày</w:t>
            </w:r>
          </w:p>
        </w:tc>
        <w:tc>
          <w:tcPr>
            <w:tcW w:w="0" w:type="auto"/>
          </w:tcPr>
          <w:p w:rsidR="00D92E1A" w:rsidRDefault="00D92E1A"/>
          <w:p w:rsidR="00D92E1A" w:rsidRDefault="00D92E1A">
            <w:pPr>
              <w:spacing w:after="0" w:line="276" w:lineRule="auto"/>
            </w:pPr>
          </w:p>
        </w:tc>
        <w:tc>
          <w:tcPr>
            <w:tcW w:w="0" w:type="auto"/>
          </w:tcPr>
          <w:p w:rsidR="00D92E1A" w:rsidRDefault="00D92E1A"/>
        </w:tc>
      </w:tr>
    </w:tbl>
    <w:p w:rsidR="00D92E1A" w:rsidRDefault="007073EA">
      <w:pPr>
        <w:spacing w:before="240" w:after="0" w:line="276" w:lineRule="auto"/>
        <w:jc w:val="both"/>
      </w:pPr>
      <w:r>
        <w:rPr>
          <w:rFonts w:ascii="Times New Roman" w:eastAsia="Times New Roman" w:hAnsi="Times New Roman" w:cs="Times New Roman"/>
          <w:b/>
          <w:sz w:val="26"/>
        </w:rPr>
        <w:t xml:space="preserve">Thành phần hồ sơ: </w:t>
      </w:r>
    </w:p>
    <w:p w:rsidR="00D92E1A" w:rsidRDefault="007073E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D92E1A">
        <w:tblPrEx>
          <w:tblCellMar>
            <w:top w:w="0" w:type="dxa"/>
            <w:bottom w:w="0" w:type="dxa"/>
          </w:tblCellMar>
        </w:tblPrEx>
        <w:tc>
          <w:tcPr>
            <w:tcW w:w="6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Tên giấy tờ</w:t>
            </w:r>
          </w:p>
        </w:tc>
        <w:tc>
          <w:tcPr>
            <w:tcW w:w="2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Mẫu đơn, tờ khai</w:t>
            </w:r>
          </w:p>
        </w:tc>
        <w:tc>
          <w:tcPr>
            <w:tcW w:w="2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Số lượng</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03 bản chính  đơn hàng nhập khẩu theo Mẫu số 36 hoặc 41 tại Phụ lục III ban hành kèm theo Nghị định số 163/2025/NĐ-CP .</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Mu.docx</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 Mẫu số 36  tại Phụ lục III ban hành kèm theo Nghị định số 163/2025/NĐ-CP: đối với dược chất, bán thành phẩm thuốc, tá dược, vỏ nang, trừ dược chất gây nghiện, dược chất hướng thần, tiền chất dùng làm thuốc.</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 Mẫu số 41  tại Phụ lục III ban hành kèm theo Nghị định số 163/2025/NĐ-CP: đối với bán thành phẩm dược liệu, dược liệu chưa có giấy đăng ký lưu hành tại Việt Nam.</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sao tiêu chuẩn  chất lượng và phương pháp kiểm nghiệm nguyên liệu làm thuốc của cơ sở sản xuất có đóng dấu của cơ sở nhập khẩu đối với trường hợp nhập khẩu nguyên liệu theo quy định tại điểm b khoản 1 Điều 68 Nghị định số 163/2025/NĐ-CP.</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lastRenderedPageBreak/>
              <w:t>Bản sao có chứng thực  giấy phép sản xuất của cơ sở sản xuất nguyên liệu hoặc giấy chứng nhận Thực hành tốt sản xuất nguyên liệu do cơ quan quản lý có thẩm quyền nước ngoài cấp đối với trường hợp nhập khẩu nguyên liệu theo quy định tại điểm b khoản 1 Điều 68 Nghị định số 163/2025/NĐ-CP. Giấy phép sản xuất, giấy chứng nhận Thực hành tốt sản xuất phải được hợp pháp hóa lãnh sự theo quy định của pháp luật về hợp pháp hóa lãnh sự, trừ trường hợp được miễn theo quy định của pháp luật.</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Đơn đề nghị  của cơ sở khám bệnh, chữa bệnh theo Mẫu số 42 tại Phụ lục III ban hành kèm theo Nghị định số 163/2025/NĐ-CP đối với trường hợp nhập khẩu nguyên liệu theo quy định tại điểm b khoản 1 Điều 68 Nghị định số 163/2025/NĐ-CP Mẫu số 42 tại Phụ lục III ban hành kèm theo Nghị định số 163/2025/NĐ-CP.</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Tài liệu quy định tại  điểm b và c khoản 2 Điều 68  Nghị định số 163/2025/NĐ-CP nếu không được thể hiện bằng tiếng Việt hoặc tiếng Anh thì phải nộp thêm bản dịch của tài liệu đó sang tiếng Việt hoặc tiếng Anh và bản dịch được chứng thực chữ ký người dịch theo quy định.</w:t>
            </w:r>
          </w:p>
        </w:tc>
        <w:tc>
          <w:tcPr>
            <w:tcW w:w="0" w:type="auto"/>
          </w:tcPr>
          <w:p w:rsidR="00D92E1A" w:rsidRDefault="00D92E1A"/>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92E1A" w:rsidRDefault="007073E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D92E1A" w:rsidRDefault="007073E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D92E1A" w:rsidRDefault="007073E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92E1A" w:rsidRDefault="007073E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92E1A" w:rsidRDefault="007073E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92E1A" w:rsidRDefault="007073E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92E1A" w:rsidRDefault="007073E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thông báo kết quả giải quyết hồ sơ</w:t>
      </w:r>
    </w:p>
    <w:p w:rsidR="00D92E1A" w:rsidRDefault="007073E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7"/>
        <w:gridCol w:w="4954"/>
        <w:gridCol w:w="993"/>
        <w:gridCol w:w="1641"/>
      </w:tblGrid>
      <w:tr w:rsidR="00D92E1A">
        <w:tblPrEx>
          <w:tblCellMar>
            <w:top w:w="0" w:type="dxa"/>
            <w:bottom w:w="0" w:type="dxa"/>
          </w:tblCellMar>
        </w:tblPrEx>
        <w:tc>
          <w:tcPr>
            <w:tcW w:w="2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Số ký hiệu</w:t>
            </w:r>
          </w:p>
        </w:tc>
        <w:tc>
          <w:tcPr>
            <w:tcW w:w="35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Trích yếu</w:t>
            </w:r>
          </w:p>
        </w:tc>
        <w:tc>
          <w:tcPr>
            <w:tcW w:w="15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Ngày ban hành</w:t>
            </w:r>
          </w:p>
        </w:tc>
        <w:tc>
          <w:tcPr>
            <w:tcW w:w="3000" w:type="dxa"/>
          </w:tcPr>
          <w:p w:rsidR="00D92E1A" w:rsidRDefault="00D92E1A"/>
          <w:p w:rsidR="00D92E1A" w:rsidRDefault="007073EA">
            <w:pPr>
              <w:spacing w:after="0" w:line="276" w:lineRule="auto"/>
              <w:jc w:val="center"/>
            </w:pPr>
            <w:r>
              <w:rPr>
                <w:rFonts w:ascii="Times New Roman" w:eastAsia="Times New Roman" w:hAnsi="Times New Roman" w:cs="Times New Roman"/>
                <w:b/>
                <w:sz w:val="26"/>
              </w:rPr>
              <w:t>Cơ quan ban hành</w:t>
            </w:r>
          </w:p>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105/2016/QH13</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06-04-2016</w:t>
            </w:r>
          </w:p>
        </w:tc>
        <w:tc>
          <w:tcPr>
            <w:tcW w:w="0" w:type="auto"/>
          </w:tcPr>
          <w:p w:rsidR="00D92E1A" w:rsidRDefault="00D92E1A"/>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44/2024/QH15</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21-11-2024</w:t>
            </w:r>
          </w:p>
        </w:tc>
        <w:tc>
          <w:tcPr>
            <w:tcW w:w="0" w:type="auto"/>
          </w:tcPr>
          <w:p w:rsidR="00D92E1A" w:rsidRDefault="00D92E1A"/>
        </w:tc>
      </w:tr>
      <w:tr w:rsidR="00D92E1A">
        <w:tblPrEx>
          <w:tblCellMar>
            <w:top w:w="0" w:type="dxa"/>
            <w:bottom w:w="0" w:type="dxa"/>
          </w:tblCellMar>
        </w:tblPrEx>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163/2025/NĐ-CP</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D92E1A" w:rsidRDefault="00D92E1A"/>
          <w:p w:rsidR="00D92E1A" w:rsidRDefault="007073EA">
            <w:pPr>
              <w:spacing w:after="0" w:line="276" w:lineRule="auto"/>
            </w:pPr>
            <w:r>
              <w:rPr>
                <w:rFonts w:ascii="Times New Roman" w:eastAsia="Times New Roman" w:hAnsi="Times New Roman" w:cs="Times New Roman"/>
                <w:sz w:val="26"/>
              </w:rPr>
              <w:t>29-06-2025</w:t>
            </w:r>
          </w:p>
        </w:tc>
        <w:tc>
          <w:tcPr>
            <w:tcW w:w="0" w:type="auto"/>
          </w:tcPr>
          <w:p w:rsidR="00D92E1A" w:rsidRDefault="00D92E1A"/>
        </w:tc>
      </w:tr>
    </w:tbl>
    <w:p w:rsidR="00D92E1A" w:rsidRDefault="007073E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Dược chất, dược liệu, bán thành phẩm thuốc, bán thành phẩm dược liệu để sản xuất thuốc có nguồn gốc dược liệu dưới dạng cao, cốm, bột, dịch chiết, tinh dầu, nhựa, gôm, thạch (sau đây gọi chung là bán thành phẩm dược liệu), tá dược, vỏ nang chưa có giấy đăng ký lưu hành tại Việt Nam được cấp phép nhập khẩu khi thuộc một trong các trường hợp sau: a) Sử dụng trong kiểm nghiệm, nghiên cứu tại các cơ sở sản xuất, cơ sở đã được cấp Giấy chứng nhận đăng ký đầu tư sản xuất thuốc nhưng chưa được cấp Giấy chứng nh</w:t>
      </w:r>
      <w:r>
        <w:rPr>
          <w:rFonts w:ascii="Times New Roman" w:eastAsia="Times New Roman" w:hAnsi="Times New Roman" w:cs="Times New Roman"/>
          <w:sz w:val="26"/>
        </w:rPr>
        <w:t xml:space="preserve">ận đủ điều kiện kinh doanh dược hoặc cơ sở kiểm nghiệm, nghiên cứu thuốc, nguyên liệu làm thuốc; b) Sử dụng trong sản xuất, pha chế để phục vụ nhu cầu điều trị tại cơ sở khám bệnh, chữa bệnh. 2. Cơ sở nhập khẩu là cơ sở đã được cấp Giấy chứng nhận đủ điều kiện kinh doanh dược, phạm vi: nhập khẩu nguyên liệu làm thuốc, sản xuất thuốc có phạm vi kinh doanh phù hợp. Cơ sở đào tạo y, dược, cơ sở nghiên cứu, kiểm nghiệm thuốc được phép nhập khẩu thuốc, nguyên liệu làm thuốc phục vụ công tác đào tạo, nghiên cứu, </w:t>
      </w:r>
      <w:r>
        <w:rPr>
          <w:rFonts w:ascii="Times New Roman" w:eastAsia="Times New Roman" w:hAnsi="Times New Roman" w:cs="Times New Roman"/>
          <w:sz w:val="26"/>
        </w:rPr>
        <w:t>kiểm nghiệm do chính cơ sở thực hiện.  Văn phòng đại diện tại Việt Nam của cơ sở sản xuất, cơ sở đứng tên đăng ký, cơ sở sở hữu giấy phép lưu hành của thuốc thử lâm sàng, thuốc đánh giá sinh khả dụng, thử tương đương sinh học; cơ sở nhận thử thuốc trên lâm sàng, cơ sở nhận đánh giá sinh khả dụng, thử tương đương sinh học được nhập khẩu thuốc, nguyên liệu làm thuốc, bao bì tiếp xúc trực tiếp với thuốc để phục vụ việc thử lâm sàng, đánh giá sinh khả dụng, thử tương đương sinh học, đăng ký lưu hành, nghiên cứu</w:t>
      </w:r>
      <w:r>
        <w:rPr>
          <w:rFonts w:ascii="Times New Roman" w:eastAsia="Times New Roman" w:hAnsi="Times New Roman" w:cs="Times New Roman"/>
          <w:sz w:val="26"/>
        </w:rPr>
        <w:t>, kiểm nghiệm thuốc, nguyên liệu làm thuốc.</w:t>
      </w:r>
    </w:p>
    <w:p w:rsidR="00D92E1A" w:rsidRDefault="007073E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92E1A" w:rsidRDefault="007073E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https://thutuc.dichvucong.gov.vn/p/home/dvc-tthc-thu-tuc-hanh-chinh-chi-tiet.html?ma_thu_tuc=406943</w:t>
      </w:r>
    </w:p>
    <w:sectPr w:rsidR="00D92E1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2E1A"/>
    <w:rsid w:val="007073EA"/>
    <w:rsid w:val="009D4EAE"/>
    <w:rsid w:val="00D9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964434-74B7-41AC-85EE-45996F6E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