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ED51" w14:textId="77777777" w:rsidR="00DF7605" w:rsidRDefault="0077744B">
      <w:pPr>
        <w:spacing w:after="300" w:line="276" w:lineRule="auto"/>
        <w:jc w:val="center"/>
      </w:pPr>
      <w:r>
        <w:rPr>
          <w:rFonts w:ascii="Times New Roman" w:eastAsia="Times New Roman" w:hAnsi="Times New Roman" w:cs="Times New Roman"/>
          <w:b/>
          <w:sz w:val="26"/>
        </w:rPr>
        <w:t>Chi tiết thủ tục hành chính</w:t>
      </w:r>
    </w:p>
    <w:p w14:paraId="42870A93" w14:textId="77777777" w:rsidR="00DF7605" w:rsidRDefault="0077744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1.014109</w:t>
      </w:r>
    </w:p>
    <w:p w14:paraId="51AD948D" w14:textId="77777777" w:rsidR="00DF7605" w:rsidRDefault="0077744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0B28B553" w14:textId="77777777" w:rsidR="00DF7605" w:rsidRDefault="0077744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gây nghiện, thuốc hướng thần, thuốc tiền chất, thuốc dạng phối hợp có chứa dược chất gây nghiện, thuốc dạng phối hợp có chứa dược chất hướng thần, thuốc dạng phối hợp có chứa tiền chất, nguyên liệu làm thuốc là dược chất gây nghiện, dược chất hướng thần, tiền chất dùng làm thuốc</w:t>
      </w:r>
    </w:p>
    <w:p w14:paraId="33C0EB4C" w14:textId="77777777" w:rsidR="00DF7605" w:rsidRDefault="0077744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B0F9AA7" w14:textId="77777777" w:rsidR="00DF7605" w:rsidRDefault="0077744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0ACBC8D" w14:textId="77777777" w:rsidR="00DF7605" w:rsidRDefault="0077744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2DCA5CCB" w14:textId="77777777" w:rsidR="00DF7605" w:rsidRDefault="0077744B">
      <w:pPr>
        <w:spacing w:after="0" w:line="276" w:lineRule="auto"/>
        <w:jc w:val="both"/>
      </w:pPr>
      <w:r>
        <w:rPr>
          <w:rFonts w:ascii="Times New Roman" w:eastAsia="Times New Roman" w:hAnsi="Times New Roman" w:cs="Times New Roman"/>
          <w:b/>
          <w:sz w:val="26"/>
        </w:rPr>
        <w:t xml:space="preserve">Trình tự thực hiện: </w:t>
      </w:r>
    </w:p>
    <w:p w14:paraId="47569D0E" w14:textId="77777777" w:rsidR="00DF7605" w:rsidRDefault="00DF7605">
      <w:pPr>
        <w:shd w:val="clear" w:color="auto" w:fill="F2F6F9"/>
        <w:spacing w:before="120" w:after="0" w:line="276" w:lineRule="auto"/>
        <w:jc w:val="both"/>
      </w:pPr>
    </w:p>
    <w:p w14:paraId="60D3FC99" w14:textId="77777777" w:rsidR="00DF7605" w:rsidRDefault="0077744B">
      <w:pPr>
        <w:spacing w:after="0" w:line="276" w:lineRule="auto"/>
        <w:jc w:val="both"/>
      </w:pPr>
      <w:r>
        <w:rPr>
          <w:rFonts w:ascii="Times New Roman" w:eastAsia="Times New Roman" w:hAnsi="Times New Roman" w:cs="Times New Roman"/>
          <w:sz w:val="26"/>
        </w:rPr>
        <w:t>Bước 1: Cơ sở đề nghị cấp phép xuất khẩu nộp hồ sơ trực tiếp hoặc qua dịch vụ bưu chính hoặc trực tuyến về Bộ Y tế (Cục Quản lý Dược). Trường hợp nộp hồ sơ theo hình thức trực tuyến, bản chính của giấy phép nhập khẩu thuốc, nguyên liệu làm thuốc, cơ sở phải thực hiện nộp bản chính qua dịch vụ bưu chính hoặc nộp trực tiếp tới Bộ Y tế; Bước 2: Sau khi nhận được hồ sơ, Bộ Y tế trả cho cơ sở Phiếu tiếp nhận hồ sơ theo Mẫu số 01 tại Phụ lục I ban hành kèm theo Nghị định số 163/2025/NĐ-CP. Bước 3: Trường hợp khôn</w:t>
      </w:r>
      <w:r>
        <w:rPr>
          <w:rFonts w:ascii="Times New Roman" w:eastAsia="Times New Roman" w:hAnsi="Times New Roman" w:cs="Times New Roman"/>
          <w:sz w:val="26"/>
        </w:rPr>
        <w:t>g có yêu cầu sửa đổi, bổ sung hồ sơ, trong thời hạn 07 ngày làm việc kể từ ngày ghi trên Phiếu tiếp nhận hồ sơ, Cục Quản lý Dược cấp phép nhập khẩu. Bước 4: Trường hợp có yêu cầu sửa đổi, bổ sung hồ sơ, trong thời hạn 07 ngày làm việc kể từ ngày ghi trên Phiếu tiếp nhận hồ sơ, Cục Quản lý Dược gửi văn bản cho cơ sở để yêu cầu sửa đổi, bổ sung hồ sơ. Trong thời hạn 06 tháng kể từ ngày Cục Quản lý Dược có văn bản thông báo sửa đổi, bổ sung, cơ sở phải nộp hồ sơ sửa đổi, bổ sung theo yêu cầu. Sau thời hạn trên</w:t>
      </w:r>
      <w:r>
        <w:rPr>
          <w:rFonts w:ascii="Times New Roman" w:eastAsia="Times New Roman" w:hAnsi="Times New Roman" w:cs="Times New Roman"/>
          <w:sz w:val="26"/>
        </w:rPr>
        <w:t>, cơ sở không nộp hồ sơ sửa đổi, bổ sung thì hồ sơ đã nộp không còn giá trị. Bước 5: Sau khi nhận hồ sơ sửa đổi, bổ sung, Bộ Y tế trả cơ sở Phiếu tiếp nhận hồ sơ sửa đổi, bổ sung. Trường hợp hồ sơ sửa đổi, bổ sung không đáp ứng yêu cầu, Cục Quản lý Dược có văn bản trả lời và nêu rõ lý do không cấp phép xuất khẩu theo Mẫu số 16 tại Phụ lục I ban hành kèm theo Nghị định số 163/2025/NĐ-CP trong thời hạn 07 ngày làm việc kể từ ngày ghi trên Phiếu tiệp nhận hồ sơ. Trường hợp không có yêu cầu sửa đổi, bổ sung đối</w:t>
      </w:r>
      <w:r>
        <w:rPr>
          <w:rFonts w:ascii="Times New Roman" w:eastAsia="Times New Roman" w:hAnsi="Times New Roman" w:cs="Times New Roman"/>
          <w:sz w:val="26"/>
        </w:rPr>
        <w:t xml:space="preserve"> với hồ sơ sửa đổi, bổ sung, cơ quan tiếp nhận hồ sơ cấp phép xuất khẩu theo quy định tại bước 3 nêu trên.</w:t>
      </w:r>
    </w:p>
    <w:p w14:paraId="3F8E639B" w14:textId="77777777" w:rsidR="00DF7605" w:rsidRDefault="0077744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DF7605" w14:paraId="1A8420FE" w14:textId="77777777">
        <w:tblPrEx>
          <w:tblCellMar>
            <w:top w:w="0" w:type="dxa"/>
            <w:bottom w:w="0" w:type="dxa"/>
          </w:tblCellMar>
        </w:tblPrEx>
        <w:tc>
          <w:tcPr>
            <w:tcW w:w="1500" w:type="dxa"/>
          </w:tcPr>
          <w:p w14:paraId="54900BF9" w14:textId="77777777" w:rsidR="00DF7605" w:rsidRDefault="00DF7605"/>
          <w:p w14:paraId="3528210E" w14:textId="77777777" w:rsidR="00DF7605" w:rsidRDefault="0077744B">
            <w:pPr>
              <w:spacing w:after="0" w:line="276" w:lineRule="auto"/>
              <w:jc w:val="center"/>
            </w:pPr>
            <w:r>
              <w:rPr>
                <w:rFonts w:ascii="Times New Roman" w:eastAsia="Times New Roman" w:hAnsi="Times New Roman" w:cs="Times New Roman"/>
                <w:b/>
                <w:sz w:val="26"/>
              </w:rPr>
              <w:t>Hình thức nộp</w:t>
            </w:r>
          </w:p>
        </w:tc>
        <w:tc>
          <w:tcPr>
            <w:tcW w:w="2000" w:type="dxa"/>
          </w:tcPr>
          <w:p w14:paraId="5F88E881" w14:textId="77777777" w:rsidR="00DF7605" w:rsidRDefault="00DF7605"/>
          <w:p w14:paraId="224C9593" w14:textId="77777777" w:rsidR="00DF7605" w:rsidRDefault="0077744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F12F3C7" w14:textId="77777777" w:rsidR="00DF7605" w:rsidRDefault="00DF7605"/>
          <w:p w14:paraId="451F0F28" w14:textId="77777777" w:rsidR="00DF7605" w:rsidRDefault="0077744B">
            <w:pPr>
              <w:spacing w:after="0" w:line="276" w:lineRule="auto"/>
              <w:jc w:val="center"/>
            </w:pPr>
            <w:r>
              <w:rPr>
                <w:rFonts w:ascii="Times New Roman" w:eastAsia="Times New Roman" w:hAnsi="Times New Roman" w:cs="Times New Roman"/>
                <w:b/>
                <w:sz w:val="26"/>
              </w:rPr>
              <w:t>Phí, lệ phí</w:t>
            </w:r>
          </w:p>
        </w:tc>
        <w:tc>
          <w:tcPr>
            <w:tcW w:w="3000" w:type="dxa"/>
          </w:tcPr>
          <w:p w14:paraId="539540BB" w14:textId="77777777" w:rsidR="00DF7605" w:rsidRDefault="00DF7605"/>
          <w:p w14:paraId="1FE11F8D" w14:textId="77777777" w:rsidR="00DF7605" w:rsidRDefault="0077744B">
            <w:pPr>
              <w:spacing w:after="0" w:line="276" w:lineRule="auto"/>
              <w:jc w:val="center"/>
            </w:pPr>
            <w:r>
              <w:rPr>
                <w:rFonts w:ascii="Times New Roman" w:eastAsia="Times New Roman" w:hAnsi="Times New Roman" w:cs="Times New Roman"/>
                <w:b/>
                <w:sz w:val="26"/>
              </w:rPr>
              <w:t>Mô tả</w:t>
            </w:r>
          </w:p>
        </w:tc>
      </w:tr>
      <w:tr w:rsidR="00DF7605" w14:paraId="465702EE" w14:textId="77777777">
        <w:tblPrEx>
          <w:tblCellMar>
            <w:top w:w="0" w:type="dxa"/>
            <w:bottom w:w="0" w:type="dxa"/>
          </w:tblCellMar>
        </w:tblPrEx>
        <w:tc>
          <w:tcPr>
            <w:tcW w:w="0" w:type="auto"/>
          </w:tcPr>
          <w:p w14:paraId="59F26FA9" w14:textId="77777777" w:rsidR="00DF7605" w:rsidRDefault="00DF7605"/>
          <w:p w14:paraId="44B299DC" w14:textId="77777777" w:rsidR="00DF7605" w:rsidRDefault="0077744B">
            <w:pPr>
              <w:spacing w:after="0" w:line="276" w:lineRule="auto"/>
            </w:pPr>
            <w:r>
              <w:rPr>
                <w:rFonts w:ascii="Times New Roman" w:eastAsia="Times New Roman" w:hAnsi="Times New Roman" w:cs="Times New Roman"/>
                <w:sz w:val="26"/>
              </w:rPr>
              <w:t>Trực tiếp</w:t>
            </w:r>
          </w:p>
        </w:tc>
        <w:tc>
          <w:tcPr>
            <w:tcW w:w="0" w:type="auto"/>
          </w:tcPr>
          <w:p w14:paraId="12C5633E" w14:textId="77777777" w:rsidR="00DF7605" w:rsidRDefault="00DF7605"/>
          <w:p w14:paraId="397CFE97" w14:textId="77777777" w:rsidR="00DF7605" w:rsidRDefault="0077744B">
            <w:pPr>
              <w:spacing w:after="0" w:line="276" w:lineRule="auto"/>
            </w:pPr>
            <w:r>
              <w:rPr>
                <w:rFonts w:ascii="Times New Roman" w:eastAsia="Times New Roman" w:hAnsi="Times New Roman" w:cs="Times New Roman"/>
                <w:sz w:val="26"/>
              </w:rPr>
              <w:t>7 Ngày làm việc</w:t>
            </w:r>
          </w:p>
        </w:tc>
        <w:tc>
          <w:tcPr>
            <w:tcW w:w="0" w:type="auto"/>
          </w:tcPr>
          <w:p w14:paraId="0B3FC21F" w14:textId="77777777" w:rsidR="00DF7605" w:rsidRDefault="00DF7605"/>
          <w:p w14:paraId="2806DBE1" w14:textId="77777777" w:rsidR="00DF7605" w:rsidRDefault="00DF7605">
            <w:pPr>
              <w:spacing w:after="0" w:line="276" w:lineRule="auto"/>
            </w:pPr>
          </w:p>
        </w:tc>
        <w:tc>
          <w:tcPr>
            <w:tcW w:w="0" w:type="auto"/>
          </w:tcPr>
          <w:p w14:paraId="2A2E1E8E" w14:textId="77777777" w:rsidR="00DF7605" w:rsidRDefault="00DF7605"/>
        </w:tc>
      </w:tr>
      <w:tr w:rsidR="00DF7605" w14:paraId="2B298C1B" w14:textId="77777777">
        <w:tblPrEx>
          <w:tblCellMar>
            <w:top w:w="0" w:type="dxa"/>
            <w:bottom w:w="0" w:type="dxa"/>
          </w:tblCellMar>
        </w:tblPrEx>
        <w:tc>
          <w:tcPr>
            <w:tcW w:w="0" w:type="auto"/>
          </w:tcPr>
          <w:p w14:paraId="13183A08" w14:textId="77777777" w:rsidR="00DF7605" w:rsidRDefault="00DF7605"/>
          <w:p w14:paraId="23770905" w14:textId="77777777" w:rsidR="00DF7605" w:rsidRDefault="0077744B">
            <w:pPr>
              <w:spacing w:after="0" w:line="276" w:lineRule="auto"/>
            </w:pPr>
            <w:r>
              <w:rPr>
                <w:rFonts w:ascii="Times New Roman" w:eastAsia="Times New Roman" w:hAnsi="Times New Roman" w:cs="Times New Roman"/>
                <w:sz w:val="26"/>
              </w:rPr>
              <w:t>Trực tuyến</w:t>
            </w:r>
          </w:p>
        </w:tc>
        <w:tc>
          <w:tcPr>
            <w:tcW w:w="0" w:type="auto"/>
          </w:tcPr>
          <w:p w14:paraId="28A1BC91" w14:textId="77777777" w:rsidR="00DF7605" w:rsidRDefault="00DF7605"/>
          <w:p w14:paraId="5FCBBF8B" w14:textId="77777777" w:rsidR="00DF7605" w:rsidRDefault="0077744B">
            <w:pPr>
              <w:spacing w:after="0" w:line="276" w:lineRule="auto"/>
            </w:pPr>
            <w:r>
              <w:rPr>
                <w:rFonts w:ascii="Times New Roman" w:eastAsia="Times New Roman" w:hAnsi="Times New Roman" w:cs="Times New Roman"/>
                <w:sz w:val="26"/>
              </w:rPr>
              <w:t>7 Ngày làm việc</w:t>
            </w:r>
          </w:p>
        </w:tc>
        <w:tc>
          <w:tcPr>
            <w:tcW w:w="0" w:type="auto"/>
          </w:tcPr>
          <w:p w14:paraId="26803288" w14:textId="77777777" w:rsidR="00DF7605" w:rsidRDefault="00DF7605"/>
          <w:p w14:paraId="1F1F48A0" w14:textId="77777777" w:rsidR="00DF7605" w:rsidRDefault="00DF7605">
            <w:pPr>
              <w:spacing w:after="0" w:line="276" w:lineRule="auto"/>
            </w:pPr>
          </w:p>
        </w:tc>
        <w:tc>
          <w:tcPr>
            <w:tcW w:w="0" w:type="auto"/>
          </w:tcPr>
          <w:p w14:paraId="0E31E4F7" w14:textId="77777777" w:rsidR="00DF7605" w:rsidRDefault="00DF7605"/>
        </w:tc>
      </w:tr>
      <w:tr w:rsidR="00DF7605" w14:paraId="22DFE50B" w14:textId="77777777">
        <w:tblPrEx>
          <w:tblCellMar>
            <w:top w:w="0" w:type="dxa"/>
            <w:bottom w:w="0" w:type="dxa"/>
          </w:tblCellMar>
        </w:tblPrEx>
        <w:tc>
          <w:tcPr>
            <w:tcW w:w="0" w:type="auto"/>
          </w:tcPr>
          <w:p w14:paraId="73F0C05F" w14:textId="77777777" w:rsidR="00DF7605" w:rsidRDefault="00DF7605"/>
          <w:p w14:paraId="7610F12C" w14:textId="77777777" w:rsidR="00DF7605" w:rsidRDefault="0077744B">
            <w:pPr>
              <w:spacing w:after="0" w:line="276" w:lineRule="auto"/>
            </w:pPr>
            <w:r>
              <w:rPr>
                <w:rFonts w:ascii="Times New Roman" w:eastAsia="Times New Roman" w:hAnsi="Times New Roman" w:cs="Times New Roman"/>
                <w:sz w:val="26"/>
              </w:rPr>
              <w:t>Dịch vụ bưu chính</w:t>
            </w:r>
          </w:p>
        </w:tc>
        <w:tc>
          <w:tcPr>
            <w:tcW w:w="0" w:type="auto"/>
          </w:tcPr>
          <w:p w14:paraId="03011E26" w14:textId="77777777" w:rsidR="00DF7605" w:rsidRDefault="00DF7605"/>
          <w:p w14:paraId="5CEE4057" w14:textId="77777777" w:rsidR="00DF7605" w:rsidRDefault="0077744B">
            <w:pPr>
              <w:spacing w:after="0" w:line="276" w:lineRule="auto"/>
            </w:pPr>
            <w:r>
              <w:rPr>
                <w:rFonts w:ascii="Times New Roman" w:eastAsia="Times New Roman" w:hAnsi="Times New Roman" w:cs="Times New Roman"/>
                <w:sz w:val="26"/>
              </w:rPr>
              <w:t>7 Ngày làm việc</w:t>
            </w:r>
          </w:p>
        </w:tc>
        <w:tc>
          <w:tcPr>
            <w:tcW w:w="0" w:type="auto"/>
          </w:tcPr>
          <w:p w14:paraId="3B272DB6" w14:textId="77777777" w:rsidR="00DF7605" w:rsidRDefault="00DF7605"/>
          <w:p w14:paraId="6911835E" w14:textId="77777777" w:rsidR="00DF7605" w:rsidRDefault="00DF7605">
            <w:pPr>
              <w:spacing w:after="0" w:line="276" w:lineRule="auto"/>
            </w:pPr>
          </w:p>
        </w:tc>
        <w:tc>
          <w:tcPr>
            <w:tcW w:w="0" w:type="auto"/>
          </w:tcPr>
          <w:p w14:paraId="5FE9AEB3" w14:textId="77777777" w:rsidR="00DF7605" w:rsidRDefault="00DF7605"/>
        </w:tc>
      </w:tr>
    </w:tbl>
    <w:p w14:paraId="02628C93" w14:textId="77777777" w:rsidR="00DF7605" w:rsidRDefault="0077744B">
      <w:pPr>
        <w:spacing w:before="240" w:after="0" w:line="276" w:lineRule="auto"/>
        <w:jc w:val="both"/>
      </w:pPr>
      <w:r>
        <w:rPr>
          <w:rFonts w:ascii="Times New Roman" w:eastAsia="Times New Roman" w:hAnsi="Times New Roman" w:cs="Times New Roman"/>
          <w:b/>
          <w:sz w:val="26"/>
        </w:rPr>
        <w:t xml:space="preserve">Thành phần hồ sơ: </w:t>
      </w:r>
    </w:p>
    <w:p w14:paraId="19B79203" w14:textId="77777777" w:rsidR="00DF7605" w:rsidRDefault="0077744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DF7605" w14:paraId="5AB65123" w14:textId="77777777">
        <w:tblPrEx>
          <w:tblCellMar>
            <w:top w:w="0" w:type="dxa"/>
            <w:bottom w:w="0" w:type="dxa"/>
          </w:tblCellMar>
        </w:tblPrEx>
        <w:tc>
          <w:tcPr>
            <w:tcW w:w="6000" w:type="dxa"/>
          </w:tcPr>
          <w:p w14:paraId="32692FD2" w14:textId="77777777" w:rsidR="00DF7605" w:rsidRDefault="00DF7605"/>
          <w:p w14:paraId="085C54A6" w14:textId="77777777" w:rsidR="00DF7605" w:rsidRDefault="0077744B">
            <w:pPr>
              <w:spacing w:after="0" w:line="276" w:lineRule="auto"/>
              <w:jc w:val="center"/>
            </w:pPr>
            <w:r>
              <w:rPr>
                <w:rFonts w:ascii="Times New Roman" w:eastAsia="Times New Roman" w:hAnsi="Times New Roman" w:cs="Times New Roman"/>
                <w:b/>
                <w:sz w:val="26"/>
              </w:rPr>
              <w:t>Tên giấy tờ</w:t>
            </w:r>
          </w:p>
        </w:tc>
        <w:tc>
          <w:tcPr>
            <w:tcW w:w="2000" w:type="dxa"/>
          </w:tcPr>
          <w:p w14:paraId="5928111C" w14:textId="77777777" w:rsidR="00DF7605" w:rsidRDefault="00DF7605"/>
          <w:p w14:paraId="712550D6" w14:textId="77777777" w:rsidR="00DF7605" w:rsidRDefault="0077744B">
            <w:pPr>
              <w:spacing w:after="0" w:line="276" w:lineRule="auto"/>
              <w:jc w:val="center"/>
            </w:pPr>
            <w:r>
              <w:rPr>
                <w:rFonts w:ascii="Times New Roman" w:eastAsia="Times New Roman" w:hAnsi="Times New Roman" w:cs="Times New Roman"/>
                <w:b/>
                <w:sz w:val="26"/>
              </w:rPr>
              <w:t>Mẫu đơn, tờ khai</w:t>
            </w:r>
          </w:p>
        </w:tc>
        <w:tc>
          <w:tcPr>
            <w:tcW w:w="2000" w:type="dxa"/>
          </w:tcPr>
          <w:p w14:paraId="3F9B10A3" w14:textId="77777777" w:rsidR="00DF7605" w:rsidRDefault="00DF7605"/>
          <w:p w14:paraId="3ADA1076" w14:textId="77777777" w:rsidR="00DF7605" w:rsidRDefault="0077744B">
            <w:pPr>
              <w:spacing w:after="0" w:line="276" w:lineRule="auto"/>
              <w:jc w:val="center"/>
            </w:pPr>
            <w:r>
              <w:rPr>
                <w:rFonts w:ascii="Times New Roman" w:eastAsia="Times New Roman" w:hAnsi="Times New Roman" w:cs="Times New Roman"/>
                <w:b/>
                <w:sz w:val="26"/>
              </w:rPr>
              <w:t>Số lượng</w:t>
            </w:r>
          </w:p>
        </w:tc>
      </w:tr>
      <w:tr w:rsidR="00DF7605" w14:paraId="4A961605" w14:textId="77777777">
        <w:tblPrEx>
          <w:tblCellMar>
            <w:top w:w="0" w:type="dxa"/>
            <w:bottom w:w="0" w:type="dxa"/>
          </w:tblCellMar>
        </w:tblPrEx>
        <w:tc>
          <w:tcPr>
            <w:tcW w:w="0" w:type="auto"/>
          </w:tcPr>
          <w:p w14:paraId="1F53967D" w14:textId="77777777" w:rsidR="00DF7605" w:rsidRDefault="00DF7605"/>
          <w:p w14:paraId="64C10D07" w14:textId="77777777" w:rsidR="00DF7605" w:rsidRDefault="0077744B">
            <w:pPr>
              <w:spacing w:after="0" w:line="276" w:lineRule="auto"/>
            </w:pPr>
            <w:r>
              <w:rPr>
                <w:rFonts w:ascii="Times New Roman" w:eastAsia="Times New Roman" w:hAnsi="Times New Roman" w:cs="Times New Roman"/>
                <w:sz w:val="26"/>
              </w:rPr>
              <w:t>Thành phần hồ sơ bao gồm: Tên giấy tờ Mẫu đơn/Tờ khai Số lượng Đơn hàng xuất khẩu  Mẫu số 01 hoặc 02 tại Phụ lục III ban hành kèm theo Nghị định số 163/2025/NĐ-CP  Bản chính: 01 Bản sao: 00 Báo cáo số lượng, nguồn gốc thuốc, nguyên liệu làm thuốc Mẫu số 03 tại Phụ lục III ban hành kèm theo  Nghị định số 163/2025/NĐ-CP  Bản chính: 01 Bản sao: 00 Bản chính giấy phép nhập khẩu thuốc, nguyên liệu làm thuốc còn hiệu lực do cơ quan quản lý có thẩm quyền nước nhập khẩu cấp. Trường hợp giấy phép nhập khẩu không đượ</w:t>
            </w:r>
            <w:r>
              <w:rPr>
                <w:rFonts w:ascii="Times New Roman" w:eastAsia="Times New Roman" w:hAnsi="Times New Roman" w:cs="Times New Roman"/>
                <w:sz w:val="26"/>
              </w:rPr>
              <w:t>c thể hiện bằng tiếng Việt hoặc tiếng Anh thì phải nộp thêm bản dịch công chứng của giấy phép ra tiếng Việt hoặc tiếng Anh.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 Giấy phép nhập khẩu, văn bản xác nhận phải được hợp pháp hoá lãnh sự theo quy định của pháp luật về h</w:t>
            </w:r>
            <w:r>
              <w:rPr>
                <w:rFonts w:ascii="Times New Roman" w:eastAsia="Times New Roman" w:hAnsi="Times New Roman" w:cs="Times New Roman"/>
                <w:sz w:val="26"/>
              </w:rPr>
              <w:t>ợp pháp hóa lãnh sự, trừ trường hợp được miễn theo quy định của pháp luật  Bản chính: 01 Bản sao: 00  Số lượng hồ sơ: 01</w:t>
            </w:r>
          </w:p>
        </w:tc>
        <w:tc>
          <w:tcPr>
            <w:tcW w:w="0" w:type="auto"/>
          </w:tcPr>
          <w:p w14:paraId="5D1DBAA8" w14:textId="77777777" w:rsidR="00DF7605" w:rsidRDefault="00DF7605"/>
          <w:p w14:paraId="588E9533" w14:textId="77777777" w:rsidR="00DF7605" w:rsidRDefault="0077744B">
            <w:pPr>
              <w:spacing w:after="0" w:line="276" w:lineRule="auto"/>
            </w:pPr>
            <w:r>
              <w:rPr>
                <w:rFonts w:ascii="Times New Roman" w:eastAsia="Times New Roman" w:hAnsi="Times New Roman" w:cs="Times New Roman"/>
                <w:sz w:val="26"/>
              </w:rPr>
              <w:t>Mu.docx</w:t>
            </w:r>
          </w:p>
        </w:tc>
        <w:tc>
          <w:tcPr>
            <w:tcW w:w="0" w:type="auto"/>
          </w:tcPr>
          <w:p w14:paraId="70FE9B05" w14:textId="77777777" w:rsidR="00DF7605" w:rsidRDefault="00DF7605"/>
          <w:p w14:paraId="728DF252" w14:textId="77777777" w:rsidR="00DF7605" w:rsidRDefault="007774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AD79CBF" w14:textId="77777777" w:rsidR="00DF7605" w:rsidRDefault="0077744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3CA550E9" w14:textId="77777777" w:rsidR="00DF7605" w:rsidRDefault="0077744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2D1DC87F" w14:textId="77777777" w:rsidR="00DF7605" w:rsidRDefault="0077744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AA17F69" w14:textId="77777777" w:rsidR="00DF7605" w:rsidRDefault="0077744B">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14:paraId="50A1BFBA" w14:textId="77777777" w:rsidR="00DF7605" w:rsidRDefault="0077744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8452194" w14:textId="77777777" w:rsidR="00DF7605" w:rsidRDefault="0077744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F2610E5" w14:textId="77777777" w:rsidR="00DF7605" w:rsidRDefault="0077744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Giấy phép xuất khẩu</w:t>
      </w:r>
    </w:p>
    <w:p w14:paraId="3262EAC6" w14:textId="77777777" w:rsidR="00DF7605" w:rsidRDefault="0077744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6"/>
        <w:gridCol w:w="4945"/>
        <w:gridCol w:w="992"/>
        <w:gridCol w:w="1638"/>
      </w:tblGrid>
      <w:tr w:rsidR="00DF7605" w14:paraId="36340137" w14:textId="77777777">
        <w:tblPrEx>
          <w:tblCellMar>
            <w:top w:w="0" w:type="dxa"/>
            <w:bottom w:w="0" w:type="dxa"/>
          </w:tblCellMar>
        </w:tblPrEx>
        <w:tc>
          <w:tcPr>
            <w:tcW w:w="2000" w:type="dxa"/>
          </w:tcPr>
          <w:p w14:paraId="17D56FA5" w14:textId="77777777" w:rsidR="00DF7605" w:rsidRDefault="00DF7605"/>
          <w:p w14:paraId="7228CBE1" w14:textId="77777777" w:rsidR="00DF7605" w:rsidRDefault="0077744B">
            <w:pPr>
              <w:spacing w:after="0" w:line="276" w:lineRule="auto"/>
              <w:jc w:val="center"/>
            </w:pPr>
            <w:r>
              <w:rPr>
                <w:rFonts w:ascii="Times New Roman" w:eastAsia="Times New Roman" w:hAnsi="Times New Roman" w:cs="Times New Roman"/>
                <w:b/>
                <w:sz w:val="26"/>
              </w:rPr>
              <w:t>Số ký hiệu</w:t>
            </w:r>
          </w:p>
        </w:tc>
        <w:tc>
          <w:tcPr>
            <w:tcW w:w="3500" w:type="dxa"/>
          </w:tcPr>
          <w:p w14:paraId="222266C2" w14:textId="77777777" w:rsidR="00DF7605" w:rsidRDefault="00DF7605"/>
          <w:p w14:paraId="1CCCE93C" w14:textId="77777777" w:rsidR="00DF7605" w:rsidRDefault="0077744B">
            <w:pPr>
              <w:spacing w:after="0" w:line="276" w:lineRule="auto"/>
              <w:jc w:val="center"/>
            </w:pPr>
            <w:r>
              <w:rPr>
                <w:rFonts w:ascii="Times New Roman" w:eastAsia="Times New Roman" w:hAnsi="Times New Roman" w:cs="Times New Roman"/>
                <w:b/>
                <w:sz w:val="26"/>
              </w:rPr>
              <w:t>Trích yếu</w:t>
            </w:r>
          </w:p>
        </w:tc>
        <w:tc>
          <w:tcPr>
            <w:tcW w:w="1500" w:type="dxa"/>
          </w:tcPr>
          <w:p w14:paraId="7C1C6495" w14:textId="77777777" w:rsidR="00DF7605" w:rsidRDefault="00DF7605"/>
          <w:p w14:paraId="684B9466" w14:textId="77777777" w:rsidR="00DF7605" w:rsidRDefault="0077744B">
            <w:pPr>
              <w:spacing w:after="0" w:line="276" w:lineRule="auto"/>
              <w:jc w:val="center"/>
            </w:pPr>
            <w:r>
              <w:rPr>
                <w:rFonts w:ascii="Times New Roman" w:eastAsia="Times New Roman" w:hAnsi="Times New Roman" w:cs="Times New Roman"/>
                <w:b/>
                <w:sz w:val="26"/>
              </w:rPr>
              <w:t>Ngày ban hành</w:t>
            </w:r>
          </w:p>
        </w:tc>
        <w:tc>
          <w:tcPr>
            <w:tcW w:w="3000" w:type="dxa"/>
          </w:tcPr>
          <w:p w14:paraId="3688F907" w14:textId="77777777" w:rsidR="00DF7605" w:rsidRDefault="00DF7605"/>
          <w:p w14:paraId="3FC65191" w14:textId="77777777" w:rsidR="00DF7605" w:rsidRDefault="0077744B">
            <w:pPr>
              <w:spacing w:after="0" w:line="276" w:lineRule="auto"/>
              <w:jc w:val="center"/>
            </w:pPr>
            <w:r>
              <w:rPr>
                <w:rFonts w:ascii="Times New Roman" w:eastAsia="Times New Roman" w:hAnsi="Times New Roman" w:cs="Times New Roman"/>
                <w:b/>
                <w:sz w:val="26"/>
              </w:rPr>
              <w:t>Cơ quan ban hành</w:t>
            </w:r>
          </w:p>
        </w:tc>
      </w:tr>
      <w:tr w:rsidR="00DF7605" w14:paraId="07778141" w14:textId="77777777">
        <w:tblPrEx>
          <w:tblCellMar>
            <w:top w:w="0" w:type="dxa"/>
            <w:bottom w:w="0" w:type="dxa"/>
          </w:tblCellMar>
        </w:tblPrEx>
        <w:tc>
          <w:tcPr>
            <w:tcW w:w="0" w:type="auto"/>
          </w:tcPr>
          <w:p w14:paraId="041F7725" w14:textId="77777777" w:rsidR="00DF7605" w:rsidRDefault="00DF7605"/>
          <w:p w14:paraId="462A89F4" w14:textId="77777777" w:rsidR="00DF7605" w:rsidRDefault="0077744B">
            <w:pPr>
              <w:spacing w:after="0" w:line="276" w:lineRule="auto"/>
            </w:pPr>
            <w:r>
              <w:rPr>
                <w:rFonts w:ascii="Times New Roman" w:eastAsia="Times New Roman" w:hAnsi="Times New Roman" w:cs="Times New Roman"/>
                <w:sz w:val="26"/>
              </w:rPr>
              <w:t>105/2016/QH13</w:t>
            </w:r>
          </w:p>
        </w:tc>
        <w:tc>
          <w:tcPr>
            <w:tcW w:w="0" w:type="auto"/>
          </w:tcPr>
          <w:p w14:paraId="68FB225D" w14:textId="77777777" w:rsidR="00DF7605" w:rsidRDefault="00DF7605"/>
          <w:p w14:paraId="056249FE" w14:textId="77777777" w:rsidR="00DF7605" w:rsidRDefault="0077744B">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26BD4095" w14:textId="77777777" w:rsidR="00DF7605" w:rsidRDefault="00DF7605"/>
          <w:p w14:paraId="45636D85" w14:textId="77777777" w:rsidR="00DF7605" w:rsidRDefault="0077744B">
            <w:pPr>
              <w:spacing w:after="0" w:line="276" w:lineRule="auto"/>
            </w:pPr>
            <w:r>
              <w:rPr>
                <w:rFonts w:ascii="Times New Roman" w:eastAsia="Times New Roman" w:hAnsi="Times New Roman" w:cs="Times New Roman"/>
                <w:sz w:val="26"/>
              </w:rPr>
              <w:t>06-04-2016</w:t>
            </w:r>
          </w:p>
        </w:tc>
        <w:tc>
          <w:tcPr>
            <w:tcW w:w="0" w:type="auto"/>
          </w:tcPr>
          <w:p w14:paraId="126D558B" w14:textId="77777777" w:rsidR="00DF7605" w:rsidRDefault="00DF7605"/>
        </w:tc>
      </w:tr>
      <w:tr w:rsidR="00DF7605" w14:paraId="5BD9B784" w14:textId="77777777">
        <w:tblPrEx>
          <w:tblCellMar>
            <w:top w:w="0" w:type="dxa"/>
            <w:bottom w:w="0" w:type="dxa"/>
          </w:tblCellMar>
        </w:tblPrEx>
        <w:tc>
          <w:tcPr>
            <w:tcW w:w="0" w:type="auto"/>
          </w:tcPr>
          <w:p w14:paraId="0EA6403B" w14:textId="77777777" w:rsidR="00DF7605" w:rsidRDefault="00DF7605"/>
          <w:p w14:paraId="1AFAD1F5" w14:textId="77777777" w:rsidR="00DF7605" w:rsidRDefault="0077744B">
            <w:pPr>
              <w:spacing w:after="0" w:line="276" w:lineRule="auto"/>
            </w:pPr>
            <w:r>
              <w:rPr>
                <w:rFonts w:ascii="Times New Roman" w:eastAsia="Times New Roman" w:hAnsi="Times New Roman" w:cs="Times New Roman"/>
                <w:sz w:val="26"/>
              </w:rPr>
              <w:t>44/2024/QH15</w:t>
            </w:r>
          </w:p>
        </w:tc>
        <w:tc>
          <w:tcPr>
            <w:tcW w:w="0" w:type="auto"/>
          </w:tcPr>
          <w:p w14:paraId="23555229" w14:textId="77777777" w:rsidR="00DF7605" w:rsidRDefault="00DF7605"/>
          <w:p w14:paraId="1B3DC48A" w14:textId="77777777" w:rsidR="00DF7605" w:rsidRDefault="0077744B">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2BA9AD36" w14:textId="77777777" w:rsidR="00DF7605" w:rsidRDefault="00DF7605"/>
          <w:p w14:paraId="2766CA9C" w14:textId="77777777" w:rsidR="00DF7605" w:rsidRDefault="0077744B">
            <w:pPr>
              <w:spacing w:after="0" w:line="276" w:lineRule="auto"/>
            </w:pPr>
            <w:r>
              <w:rPr>
                <w:rFonts w:ascii="Times New Roman" w:eastAsia="Times New Roman" w:hAnsi="Times New Roman" w:cs="Times New Roman"/>
                <w:sz w:val="26"/>
              </w:rPr>
              <w:t>21-11-2024</w:t>
            </w:r>
          </w:p>
        </w:tc>
        <w:tc>
          <w:tcPr>
            <w:tcW w:w="0" w:type="auto"/>
          </w:tcPr>
          <w:p w14:paraId="2D777BEB" w14:textId="77777777" w:rsidR="00DF7605" w:rsidRDefault="00DF7605"/>
        </w:tc>
      </w:tr>
      <w:tr w:rsidR="00DF7605" w14:paraId="3ED815D6" w14:textId="77777777">
        <w:tblPrEx>
          <w:tblCellMar>
            <w:top w:w="0" w:type="dxa"/>
            <w:bottom w:w="0" w:type="dxa"/>
          </w:tblCellMar>
        </w:tblPrEx>
        <w:tc>
          <w:tcPr>
            <w:tcW w:w="0" w:type="auto"/>
          </w:tcPr>
          <w:p w14:paraId="4A62384A" w14:textId="77777777" w:rsidR="00DF7605" w:rsidRDefault="00DF7605"/>
          <w:p w14:paraId="351659F5" w14:textId="77777777" w:rsidR="00DF7605" w:rsidRDefault="0077744B">
            <w:pPr>
              <w:spacing w:after="0" w:line="276" w:lineRule="auto"/>
            </w:pPr>
            <w:r>
              <w:rPr>
                <w:rFonts w:ascii="Times New Roman" w:eastAsia="Times New Roman" w:hAnsi="Times New Roman" w:cs="Times New Roman"/>
                <w:sz w:val="26"/>
              </w:rPr>
              <w:t>163/2025/NĐ-CP</w:t>
            </w:r>
          </w:p>
        </w:tc>
        <w:tc>
          <w:tcPr>
            <w:tcW w:w="0" w:type="auto"/>
          </w:tcPr>
          <w:p w14:paraId="3585D523" w14:textId="77777777" w:rsidR="00DF7605" w:rsidRDefault="00DF7605"/>
          <w:p w14:paraId="6A4E5DFA" w14:textId="77777777" w:rsidR="00DF7605" w:rsidRDefault="0077744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5B783DD9" w14:textId="77777777" w:rsidR="00DF7605" w:rsidRDefault="00DF7605"/>
          <w:p w14:paraId="2EE99B9A" w14:textId="77777777" w:rsidR="00DF7605" w:rsidRDefault="0077744B">
            <w:pPr>
              <w:spacing w:after="0" w:line="276" w:lineRule="auto"/>
            </w:pPr>
            <w:r>
              <w:rPr>
                <w:rFonts w:ascii="Times New Roman" w:eastAsia="Times New Roman" w:hAnsi="Times New Roman" w:cs="Times New Roman"/>
                <w:sz w:val="26"/>
              </w:rPr>
              <w:t>29-06-2025</w:t>
            </w:r>
          </w:p>
        </w:tc>
        <w:tc>
          <w:tcPr>
            <w:tcW w:w="0" w:type="auto"/>
          </w:tcPr>
          <w:p w14:paraId="530340C1" w14:textId="77777777" w:rsidR="00DF7605" w:rsidRDefault="00DF7605"/>
        </w:tc>
      </w:tr>
    </w:tbl>
    <w:p w14:paraId="02CA97E6" w14:textId="77777777" w:rsidR="00DF7605" w:rsidRDefault="0077744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chỉ được cấp phép xuất khẩu khi đáp ứng một trong các tiêu chí sau: a) Được sản xuất tại Việt Nam, có giấy đăng ký lưu hành thuốc tại Việt Nam và được cơ quan quản lý có thẩm quyền nước nhập khẩu cho phép nhập khẩu; b) Được sản xuất tại nước ngoài, được cấp phép lưu hành tại Việt Nam và được cơ quan quản lý có thẩm quyền nước nhập khẩu cho phép nhập khẩu. 2. Nguyên liệu làm thuốc chỉ được cấp phép xuất khẩu khi đáp ứng một trong các tiêu chí sau: a) Được sản xuất tại Việt Nam, có giấy đăng ký lưu h</w:t>
      </w:r>
      <w:r>
        <w:rPr>
          <w:rFonts w:ascii="Times New Roman" w:eastAsia="Times New Roman" w:hAnsi="Times New Roman" w:cs="Times New Roman"/>
          <w:sz w:val="26"/>
        </w:rPr>
        <w:t>ành tại Việt Nam hoặc chưa có giấy đăng ký lưu hành tại Việt Nam, được cơ quan quản lý có thẩm quyền nước nhập khẩu cho phép nhập khẩu; b) Được sản xuất tại nước ngoài, được cấp phép lưu hành tại Việt Nam và được cơ quan quản lý có thẩm quyền nước nhập khẩu cho phép nhập khẩu. 3. Cơ sở đã được cấp Giấy chứng nhận đủ điều kiện kinh doanh dược phạm vi xuất khẩu thuốc/ nguyên liệu làm thuốc; cơ sở đã được cấp Giấy chứng nhận đủ điều kiện kinh doanh dược phạm vi sản xuất thuốc đối với thuốc xuất khẩu/ phạm vi s</w:t>
      </w:r>
      <w:r>
        <w:rPr>
          <w:rFonts w:ascii="Times New Roman" w:eastAsia="Times New Roman" w:hAnsi="Times New Roman" w:cs="Times New Roman"/>
          <w:sz w:val="26"/>
        </w:rPr>
        <w:t>ản xuất đối với nguyên liệu xuất khẩu.</w:t>
      </w:r>
    </w:p>
    <w:p w14:paraId="31320E46" w14:textId="77777777" w:rsidR="00DF7605" w:rsidRDefault="0077744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85A645A" w14:textId="77777777" w:rsidR="00DF7605" w:rsidRDefault="0077744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https://thutuc.dichvucong.gov.vn/p/home/dvc-tthc-thu-tuc-hanh-chinh-chi-tiet.html?ma_thu_tuc=406965</w:t>
      </w:r>
    </w:p>
    <w:sectPr w:rsidR="00DF760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7605"/>
    <w:rsid w:val="00007BE3"/>
    <w:rsid w:val="0077744B"/>
    <w:rsid w:val="00DF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383D"/>
  <w15:docId w15:val="{157DFD80-FE9A-444D-8570-49D8EF30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