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1.014112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2278/QĐ-BYT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phép xuất khẩu thuốc gây nghiện, thuốc hướng thần, thuốc tiền chất, thuốc dạng phối hợp có chứa dược chất gây nghiện, thuốc dạng phối hợp có chứa dược chất hướng thần, thuốc dạng phối hợp có chứa tiền chất, dược chất gây nghiện, dược chất hướng thần, tiền chất dùng làm thuốc cho mục đích thử lâm sàng, thử tương đương sinh học, đánh giá sinh khả dụng, làm mẫu kiểm nghiệm, nghiên cứu khoa học, làm mẫu đăng ký</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Dược phẩm</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Cơ sở đề nghị cấp phép xuất khẩu nộp hồ sơ trực tiếp hoặc qua dịch vụ bưu chính hoặc trực tuyến về Bộ Y tế (Cục Quản lý Dược).
Trường hợp nộp hồ sơ theo hình thức trực tuyến, riêng giấy phép nhập khẩu thuốc, nguyên liệu làm thuốc, cơ sở phải thực hiện nộp bản chính qua dịch vụ bưu chính hoặc nộp trực tiếp tới Bộ Y tế</w:t>
      </w:r>
    </w:p>
    <w:p>
      <w:pPr>
        <w:spacing w:after="0" w:before="0" w:lineRule="auto" w:line="276"/>
        <w:jc w:val="both"/>
      </w:pPr>
      <w:r>
        <w:rPr>
          <w:rFonts w:ascii="Times New Roman" w:hAnsi="Times New Roman" w:cs="Times New Roman" w:eastAsia="Times New Roman"/>
          <w:b w:val="false"/>
          <w:sz w:val="26"/>
        </w:rPr>
        <w:t>Bước 2: Sau khi nhận được hồ sơ, Bộ Y tế trả cho cơ sở Phiếu tiếp nhận hồ sơ theo mẫu số 01 tại Phụ lục I ban hành kèm theo Nghị định số 163/2025/NĐ-CP.</w:t>
      </w:r>
    </w:p>
    <w:p>
      <w:pPr>
        <w:spacing w:after="0" w:before="0" w:lineRule="auto" w:line="276"/>
        <w:jc w:val="both"/>
      </w:pPr>
      <w:r>
        <w:rPr>
          <w:rFonts w:ascii="Times New Roman" w:hAnsi="Times New Roman" w:cs="Times New Roman" w:eastAsia="Times New Roman"/>
          <w:b w:val="false"/>
          <w:sz w:val="26"/>
        </w:rPr>
        <w:t>Bước 3: Trường hợp không có yêu cầu sửa đổi, bổ sung hồ sơ, trong thời hạn 07 ngày làm việc kể từ ngày ghi trên Phiếu tiếp nhận hồ sơ, Cục Quản lý Dược cấp phép nhập khẩu.</w:t>
      </w:r>
    </w:p>
    <w:p>
      <w:pPr>
        <w:spacing w:after="0" w:before="0" w:lineRule="auto" w:line="276"/>
        <w:jc w:val="both"/>
      </w:pPr>
      <w:r>
        <w:rPr>
          <w:rFonts w:ascii="Times New Roman" w:hAnsi="Times New Roman" w:cs="Times New Roman" w:eastAsia="Times New Roman"/>
          <w:b w:val="false"/>
          <w:sz w:val="26"/>
        </w:rPr>
        <w:t>Bước 4: Trường hợp có yêu cầu sửa đổi, bổ sung hồ sơ, trong thời hạn 07 ngày làm việc kể từ ngày ghi trên Phiếu tiếp nhận hồ sơ, Cục Quản lý Dược gửi văn bản cho cơ sở để yêu cầu sửa đổi, bổ sung hồ sơ.
Trong thời hạn 06 tháng kể từ ngày Cục Quản lý Dược có văn bản thông báo sửa đổi, bổ sung, cơ sở phải nộp hồ sơ sửa đổi, bổ sung theo yêu cầu. Sau thời hạn trên, cơ sở không nộp hồ sơ sửa đổi, bổ sung thì hồ sơ đã nộp không còn giá trị.</w:t>
      </w:r>
    </w:p>
    <w:p>
      <w:pPr>
        <w:spacing w:after="0" w:before="0" w:lineRule="auto" w:line="276"/>
        <w:jc w:val="both"/>
      </w:pPr>
      <w:r>
        <w:rPr>
          <w:rFonts w:ascii="Times New Roman" w:hAnsi="Times New Roman" w:cs="Times New Roman" w:eastAsia="Times New Roman"/>
          <w:b w:val="false"/>
          <w:sz w:val="26"/>
        </w:rPr>
        <w:t>Bước 5: Sau khi nhận hồ sơ sửa đổi, bổ sung, Bộ Y tế trả cơ sở Phiếu tiếp nhận hồ sơ sửa đổi, bổ sung. Trường hợp hồ sơ sửa đổi, bổ sung không đáp ứng yêu cầu, Cục Quản lý Dược có văn bản trả lời và nêu rõ lý do không cấp phép xuất khẩu theo Mẫu số 16 tại Phụ lục I ban hành kèm theo Nghị định số 163/2025/NĐ-CP trong thời hạn 07 ngày làm việc kể từ ngày ghi trên Phiếu tiệp nhận hồ sơ. Trường hợp không có yêu cầu sửa đổi, bổ sung đối với hồ sơ sửa đổi, bổ sung, cơ quan tiếp nhận hồ sơ cấp phép xuất khẩu theo quy định tại bước 3 nêu trên.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hàng xuất khẩu Mẫu số 01 hoặc 02 tại Phụ lục III ban hành kèm theo Nghị định số 163/2025/NĐ-CP .</w:t>
            </w:r>
          </w:p>
        </w:tc>
        <w:tc>
          <w:p/>
          <w:p>
            <w:pPr>
              <w:spacing w:after="0" w:before="0" w:lineRule="auto" w:line="276"/>
              <w:jc w:val="left"/>
            </w:pPr>
            <w:r>
              <w:rPr>
                <w:rFonts w:ascii="Times New Roman" w:hAnsi="Times New Roman" w:cs="Times New Roman" w:eastAsia="Times New Roman"/>
                <w:b w:val="false"/>
                <w:sz w:val="26"/>
              </w:rPr>
              <w:t>Mu2.docx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chính  giấy phép nhập khẩu thuốc,  nguyên liệu làm thuốc còn hiệu lực do cơ quan quản lý có thẩm quyền nước nhập khẩu cấp. Trường hợp giấy phép nhập khẩu không được thể hiện bằng tiếng Việt hoặc tiếng Anh thì phải nộp thêm bản dịch công chứng của giấy phép ra tiếng Việt hoặc tiếng Anh. Trường hợp nước nhập khẩu không quy định phải có giấy phép nhập khẩu đối với thuốc, nguyên liệu làm thuốc khi nhập khẩu, cơ sở đề nghị cấp phép xuất khẩu cung cấp văn bản của cơ quan quản lý có thẩm quyền xác nhận quy định của nước sở tại về nội dung không phải cấp giấy phép nhập khẩu.</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phép nhập khẩu,  văn bản xác nhận phải được hợp pháp hoá lãnh sự theo quy định của pháp luật về hợp pháp hóa lãnh sự, trừ trường hợp được miễn theo quy định của pháp  luật.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Y tế</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thông báo kết quả giải quyết hồ sơ, Giấy phép xuất khẩu</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06/2017/TT-BYT</w:t>
            </w:r>
          </w:p>
        </w:tc>
        <w:tc>
          <w:p/>
          <w:p>
            <w:pPr>
              <w:spacing w:after="0" w:before="0" w:lineRule="auto" w:line="276"/>
              <w:jc w:val="left"/>
            </w:pPr>
            <w:r>
              <w:rPr>
                <w:rFonts w:ascii="Times New Roman" w:hAnsi="Times New Roman" w:cs="Times New Roman" w:eastAsia="Times New Roman"/>
                <w:b w:val="false"/>
                <w:sz w:val="26"/>
              </w:rPr>
              <w:t>Thông tư 06/2017/TT-BYT</w:t>
            </w:r>
          </w:p>
        </w:tc>
        <w:tc>
          <w:p/>
          <w:p>
            <w:pPr>
              <w:spacing w:after="0" w:before="0" w:lineRule="auto" w:line="276"/>
              <w:jc w:val="left"/>
            </w:pPr>
            <w:r>
              <w:rPr>
                <w:rFonts w:ascii="Times New Roman" w:hAnsi="Times New Roman" w:cs="Times New Roman" w:eastAsia="Times New Roman"/>
                <w:b w:val="false"/>
                <w:sz w:val="26"/>
              </w:rPr>
              <w:t>03-05-2017</w:t>
            </w:r>
          </w:p>
        </w:tc>
        <w:tc>
          <w:p/>
        </w:tc>
      </w:tr>
      <w:tr>
        <w:tc>
          <w:p/>
          <w:p>
            <w:pPr>
              <w:spacing w:after="0" w:before="0" w:lineRule="auto" w:line="276"/>
              <w:jc w:val="left"/>
            </w:pPr>
            <w:r>
              <w:rPr>
                <w:rFonts w:ascii="Times New Roman" w:hAnsi="Times New Roman" w:cs="Times New Roman" w:eastAsia="Times New Roman"/>
                <w:b w:val="false"/>
                <w:sz w:val="26"/>
              </w:rPr>
              <w:t>27/2024/TT-BYT</w:t>
            </w:r>
          </w:p>
        </w:tc>
        <w:tc>
          <w:p/>
          <w:p>
            <w:pPr>
              <w:spacing w:after="0" w:before="0" w:lineRule="auto" w:line="276"/>
              <w:jc w:val="left"/>
            </w:pPr>
            <w:r>
              <w:rPr>
                <w:rFonts w:ascii="Times New Roman" w:hAnsi="Times New Roman" w:cs="Times New Roman" w:eastAsia="Times New Roman"/>
                <w:b w:val="false"/>
                <w:sz w:val="26"/>
              </w:rPr>
              <w:t>Sửa đổi, bổ sung một số điều của Thông tư số 20/2017/TT-BYT ngày 10 tháng 5 năm 2017 của Bộ trưởng Bộ Y tế quy định chi tiết một số điều của Luật dược và Nghị định số 54/2017/NĐ-CP ngày 08 tháng 5 năm 2017 của Chính phủ về thuốc và nguyên liệu làm thuốc phải kiểm soát đặc biệt</w:t>
            </w:r>
          </w:p>
        </w:tc>
        <w:tc>
          <w:p/>
          <w:p>
            <w:pPr>
              <w:spacing w:after="0" w:before="0" w:lineRule="auto" w:line="276"/>
              <w:jc w:val="left"/>
            </w:pPr>
            <w:r>
              <w:rPr>
                <w:rFonts w:ascii="Times New Roman" w:hAnsi="Times New Roman" w:cs="Times New Roman" w:eastAsia="Times New Roman"/>
                <w:b w:val="false"/>
                <w:sz w:val="26"/>
              </w:rPr>
              <w:t>01-11-2024</w:t>
            </w:r>
          </w:p>
        </w:tc>
        <w:tc>
          <w:p/>
          <w:p>
            <w:pPr>
              <w:spacing w:after="0" w:before="0" w:lineRule="auto" w:line="276"/>
              <w:jc w:val="left"/>
            </w:pPr>
            <w:r>
              <w:rPr>
                <w:rFonts w:ascii="Times New Roman" w:hAnsi="Times New Roman" w:cs="Times New Roman" w:eastAsia="Times New Roman"/>
                <w:b w:val="false"/>
                <w:sz w:val="26"/>
              </w:rPr>
              <w:t>Bộ Y tế</w:t>
            </w:r>
          </w:p>
        </w:tc>
      </w:tr>
      <w:tr>
        <w:tc>
          <w:p/>
          <w:p>
            <w:pPr>
              <w:spacing w:after="0" w:before="0" w:lineRule="auto" w:line="276"/>
              <w:jc w:val="left"/>
            </w:pPr>
            <w:r>
              <w:rPr>
                <w:rFonts w:ascii="Times New Roman" w:hAnsi="Times New Roman" w:cs="Times New Roman" w:eastAsia="Times New Roman"/>
                <w:b w:val="false"/>
                <w:sz w:val="26"/>
              </w:rPr>
              <w:t>44/2024/QH15</w:t>
            </w:r>
          </w:p>
        </w:tc>
        <w:tc>
          <w:p/>
          <w:p>
            <w:pPr>
              <w:spacing w:after="0" w:before="0" w:lineRule="auto" w:line="276"/>
              <w:jc w:val="left"/>
            </w:pPr>
            <w:r>
              <w:rPr>
                <w:rFonts w:ascii="Times New Roman" w:hAnsi="Times New Roman" w:cs="Times New Roman" w:eastAsia="Times New Roman"/>
                <w:b w:val="false"/>
                <w:sz w:val="26"/>
              </w:rPr>
              <w:t>Luật sửa đổi, bổ sung một số điều của Luật dược ngày 21 tháng 11 năm 2024</w:t>
            </w:r>
          </w:p>
        </w:tc>
        <w:tc>
          <w:p/>
          <w:p>
            <w:pPr>
              <w:spacing w:after="0" w:before="0" w:lineRule="auto" w:line="276"/>
              <w:jc w:val="left"/>
            </w:pPr>
            <w:r>
              <w:rPr>
                <w:rFonts w:ascii="Times New Roman" w:hAnsi="Times New Roman" w:cs="Times New Roman" w:eastAsia="Times New Roman"/>
                <w:b w:val="false"/>
                <w:sz w:val="26"/>
              </w:rPr>
              <w:t>21-11-2024</w:t>
            </w:r>
          </w:p>
        </w:tc>
        <w:tc>
          <w:p/>
        </w:tc>
      </w:tr>
      <w:tr>
        <w:tc>
          <w:p/>
          <w:p>
            <w:pPr>
              <w:spacing w:after="0" w:before="0" w:lineRule="auto" w:line="276"/>
              <w:jc w:val="left"/>
            </w:pPr>
            <w:r>
              <w:rPr>
                <w:rFonts w:ascii="Times New Roman" w:hAnsi="Times New Roman" w:cs="Times New Roman" w:eastAsia="Times New Roman"/>
                <w:b w:val="false"/>
                <w:sz w:val="26"/>
              </w:rPr>
              <w:t>163/2025/NĐ-CP</w:t>
            </w:r>
          </w:p>
        </w:tc>
        <w:tc>
          <w:p/>
          <w:p>
            <w:pPr>
              <w:spacing w:after="0" w:before="0" w:lineRule="auto" w:line="276"/>
              <w:jc w:val="left"/>
            </w:pPr>
            <w:r>
              <w:rPr>
                <w:rFonts w:ascii="Times New Roman" w:hAnsi="Times New Roman" w:cs="Times New Roman" w:eastAsia="Times New Roman"/>
                <w:b w:val="false"/>
                <w:sz w:val="26"/>
              </w:rPr>
              <w:t>Nghị định của Chính phủ quy định chi tiết một số điều và biện pháp thi hành Luật dược</w:t>
            </w:r>
          </w:p>
        </w:tc>
        <w:tc>
          <w:p/>
          <w:p>
            <w:pPr>
              <w:spacing w:after="0" w:before="0" w:lineRule="auto" w:line="276"/>
              <w:jc w:val="left"/>
            </w:pPr>
            <w:r>
              <w:rPr>
                <w:rFonts w:ascii="Times New Roman" w:hAnsi="Times New Roman" w:cs="Times New Roman" w:eastAsia="Times New Roman"/>
                <w:b w:val="false"/>
                <w:sz w:val="26"/>
              </w:rPr>
              <w:t>29-06-2025</w:t>
            </w:r>
          </w:p>
        </w:tc>
        <w:tc>
          <w:p/>
        </w:tc>
      </w:tr>
      <w:tr>
        <w:tc>
          <w:p/>
          <w:p>
            <w:pPr>
              <w:spacing w:after="0" w:before="0" w:lineRule="auto" w:line="276"/>
              <w:jc w:val="left"/>
            </w:pPr>
            <w:r>
              <w:rPr>
                <w:rFonts w:ascii="Times New Roman" w:hAnsi="Times New Roman" w:cs="Times New Roman" w:eastAsia="Times New Roman"/>
                <w:b w:val="false"/>
                <w:sz w:val="26"/>
              </w:rPr>
              <w:t>13/2024/TT-BYT</w:t>
            </w:r>
          </w:p>
        </w:tc>
        <w:tc>
          <w:p/>
          <w:p>
            <w:pPr>
              <w:spacing w:after="0" w:before="0" w:lineRule="auto" w:line="276"/>
              <w:jc w:val="left"/>
            </w:pPr>
            <w:r>
              <w:rPr>
                <w:rFonts w:ascii="Times New Roman" w:hAnsi="Times New Roman" w:cs="Times New Roman" w:eastAsia="Times New Roman"/>
                <w:b w:val="false"/>
                <w:sz w:val="26"/>
              </w:rPr>
              <w:t>Thông tư của Bộ trưởng Bộ Y tế ban hành Danh mục dược liệu độc làm thuốc</w:t>
            </w:r>
          </w:p>
        </w:tc>
        <w:tc>
          <w:p/>
          <w:p>
            <w:pPr>
              <w:spacing w:after="0" w:before="0" w:lineRule="auto" w:line="276"/>
              <w:jc w:val="left"/>
            </w:pPr>
            <w:r>
              <w:rPr>
                <w:rFonts w:ascii="Times New Roman" w:hAnsi="Times New Roman" w:cs="Times New Roman" w:eastAsia="Times New Roman"/>
                <w:b w:val="false"/>
                <w:sz w:val="26"/>
              </w:rPr>
              <w:t>26-08-2024</w:t>
            </w:r>
          </w:p>
        </w:tc>
        <w:tc>
          <w:p/>
        </w:tc>
      </w:tr>
      <w:tr>
        <w:tc>
          <w:p/>
          <w:p>
            <w:pPr>
              <w:spacing w:after="0" w:before="0" w:lineRule="auto" w:line="276"/>
              <w:jc w:val="left"/>
            </w:pPr>
            <w:r>
              <w:rPr>
                <w:rFonts w:ascii="Times New Roman" w:hAnsi="Times New Roman" w:cs="Times New Roman" w:eastAsia="Times New Roman"/>
                <w:b w:val="false"/>
                <w:sz w:val="26"/>
              </w:rPr>
              <w:t>3235/QĐ-BYT</w:t>
            </w:r>
          </w:p>
        </w:tc>
        <w:tc>
          <w:p/>
          <w:p>
            <w:pPr>
              <w:spacing w:after="0" w:before="0" w:lineRule="auto" w:line="276"/>
              <w:jc w:val="left"/>
            </w:pPr>
            <w:r>
              <w:rPr>
                <w:rFonts w:ascii="Times New Roman" w:hAnsi="Times New Roman" w:cs="Times New Roman" w:eastAsia="Times New Roman"/>
                <w:b w:val="false"/>
                <w:sz w:val="26"/>
              </w:rPr>
              <w:t>Quyết định của Bộ trưởng Bộ Y tế công bố danh mục thuốc, dược chất thuộc danh mục chất bị cấm sử dụng trong một số ngành, lĩnh vực</w:t>
            </w:r>
          </w:p>
        </w:tc>
        <w:tc>
          <w:p/>
          <w:p>
            <w:pPr>
              <w:spacing w:after="0" w:before="0" w:lineRule="auto" w:line="276"/>
              <w:jc w:val="left"/>
            </w:pPr>
            <w:r>
              <w:rPr>
                <w:rFonts w:ascii="Times New Roman" w:hAnsi="Times New Roman" w:cs="Times New Roman" w:eastAsia="Times New Roman"/>
                <w:b w:val="false"/>
                <w:sz w:val="26"/>
              </w:rPr>
              <w:t>01-11-2024</w:t>
            </w:r>
          </w:p>
        </w:tc>
        <w:tc>
          <w:p/>
          <w:p>
            <w:pPr>
              <w:spacing w:after="0" w:before="0" w:lineRule="auto" w:line="276"/>
              <w:jc w:val="left"/>
            </w:pPr>
            <w:r>
              <w:rPr>
                <w:rFonts w:ascii="Times New Roman" w:hAnsi="Times New Roman" w:cs="Times New Roman" w:eastAsia="Times New Roman"/>
                <w:b w:val="false"/>
                <w:sz w:val="26"/>
              </w:rPr>
              <w:t>Bộ Y tế</w:t>
            </w:r>
          </w:p>
        </w:tc>
      </w:tr>
      <w:tr>
        <w:tc>
          <w:p/>
          <w:p>
            <w:pPr>
              <w:spacing w:after="0" w:before="0" w:lineRule="auto" w:line="276"/>
              <w:jc w:val="left"/>
            </w:pPr>
            <w:r>
              <w:rPr>
                <w:rFonts w:ascii="Times New Roman" w:hAnsi="Times New Roman" w:cs="Times New Roman" w:eastAsia="Times New Roman"/>
                <w:b w:val="false"/>
                <w:sz w:val="26"/>
              </w:rPr>
              <w:t>20/2017/TT-BYT</w:t>
            </w:r>
          </w:p>
        </w:tc>
        <w:tc>
          <w:p/>
          <w:p>
            <w:pPr>
              <w:spacing w:after="0" w:before="0" w:lineRule="auto" w:line="276"/>
              <w:jc w:val="left"/>
            </w:pPr>
            <w:r>
              <w:rPr>
                <w:rFonts w:ascii="Times New Roman" w:hAnsi="Times New Roman" w:cs="Times New Roman" w:eastAsia="Times New Roman"/>
                <w:b w:val="false"/>
                <w:sz w:val="26"/>
              </w:rPr>
              <w:t>Thông tư của Bộ trưởng Bộ Y tế quy định chi tiết một số điều của Luật Dược và Nghị định số 54/2017/NĐ-CP ngày 08 tháng 5 năm 2017 của Chính phủ về thuốc và nguyên liệu làm thuốc phải kiểm soát đặc biệt, được sửa đổi, bổ sung bởi Thông tư số 27/TT-BYT ngày 01 tháng 11 năm 2024 của Bộ trưởng Bộ Y tế</w:t>
            </w:r>
          </w:p>
        </w:tc>
        <w:tc>
          <w:p/>
          <w:p>
            <w:pPr>
              <w:spacing w:after="0" w:before="0" w:lineRule="auto" w:line="276"/>
              <w:jc w:val="left"/>
            </w:pPr>
            <w:r>
              <w:rPr>
                <w:rFonts w:ascii="Times New Roman" w:hAnsi="Times New Roman" w:cs="Times New Roman" w:eastAsia="Times New Roman"/>
                <w:b w:val="false"/>
                <w:sz w:val="26"/>
              </w:rPr>
              <w:t>10-05-2017</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Thuốc, nguyên liệu chỉ được cấp phép xuất khẩu khi đáp ứng một trong các tiêu chí sau:
a) Được sản xuất tại Việt Nam, có giấy đăng ký lưu hành thuốc tại Việt Nam hoặc chưa có giấy đăng ký lưu hành thuốc tại Việt Nam, có giấy phép nhập khẩu do cơ quan quản lý có thẩm quyền nước nhập khẩu cấp;
b) Được sản xuất tại nước ngoài, được cấp phép lưu hành tại Việt Nam và có giấy phép nhập khẩu do cơ quan quản lý có thẩm quyền nước nhập khẩu cấp.
2. Cơ sở đã được cấp Giấy chứng nhận đủ điều kiện kinh doanh dược phạm vi xuất khẩu thuốc; cơ sở đã được cấp Giấy chứng nhận đủ điều kiện kinh doanh dược phạm vi sản xuất thuốc đối với thuốc xuất khẩu.</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https://thutuc.dichvucong.gov.vn/p/home/dvc-tthc-thu-tuc-hanh-chinh-chi-tiet.html?ma_thu_tuc=406936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2025-12-02T12:26:17Z</dcterms:created>
  <dc:creator>Apache POI</dc:creator>
</cp:coreProperties>
</file>