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1E23" w:rsidRDefault="0055338F">
      <w:pPr>
        <w:spacing w:after="300" w:line="276" w:lineRule="auto"/>
        <w:jc w:val="center"/>
      </w:pPr>
      <w:r>
        <w:rPr>
          <w:rFonts w:ascii="Times New Roman" w:eastAsia="Times New Roman" w:hAnsi="Times New Roman" w:cs="Times New Roman"/>
          <w:b/>
          <w:sz w:val="26"/>
        </w:rPr>
        <w:t>Chi tiết thủ tục hành chính</w:t>
      </w:r>
    </w:p>
    <w:p w:rsidR="00461E23" w:rsidRDefault="0055338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1.014114</w:t>
      </w:r>
    </w:p>
    <w:p w:rsidR="00461E23" w:rsidRDefault="0055338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rsidR="00461E23" w:rsidRDefault="0055338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phép xuất khẩu thuốc phóng xạ, nguyên liệu làm thuốc là chất phóng xạ; thuốc độc, nguyên liệu độc làm thuốc, thuốc và dược chất trong danh mục thuốc, dược chất thuộc danh mục chất bị cấm sử dụng  trong một số ngành, lĩnh vực cho mục đích thử lâm sàng, thử tương đương sinh học, đánh giá sinh khả dụng, làm mẫu kiểm nghiệm, nghiên cứu khoa học, làm mẫu đăng ký</w:t>
      </w:r>
    </w:p>
    <w:p w:rsidR="00461E23" w:rsidRDefault="0055338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461E23" w:rsidRDefault="0055338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461E23" w:rsidRDefault="0055338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rsidR="00461E23" w:rsidRDefault="0055338F">
      <w:pPr>
        <w:spacing w:after="0" w:line="276" w:lineRule="auto"/>
        <w:jc w:val="both"/>
      </w:pPr>
      <w:r>
        <w:rPr>
          <w:rFonts w:ascii="Times New Roman" w:eastAsia="Times New Roman" w:hAnsi="Times New Roman" w:cs="Times New Roman"/>
          <w:b/>
          <w:sz w:val="26"/>
        </w:rPr>
        <w:t xml:space="preserve">Trình tự thực hiện: </w:t>
      </w:r>
    </w:p>
    <w:p w:rsidR="00461E23" w:rsidRDefault="00461E23">
      <w:pPr>
        <w:shd w:val="clear" w:color="auto" w:fill="F2F6F9"/>
        <w:spacing w:before="120" w:after="0" w:line="276" w:lineRule="auto"/>
        <w:jc w:val="both"/>
      </w:pPr>
    </w:p>
    <w:p w:rsidR="00461E23" w:rsidRDefault="0055338F">
      <w:pPr>
        <w:spacing w:after="0" w:line="276" w:lineRule="auto"/>
        <w:jc w:val="both"/>
      </w:pPr>
      <w:r>
        <w:rPr>
          <w:rFonts w:ascii="Times New Roman" w:eastAsia="Times New Roman" w:hAnsi="Times New Roman" w:cs="Times New Roman"/>
          <w:sz w:val="26"/>
        </w:rPr>
        <w:t xml:space="preserve">Bước 1: Cơ sở đề nghị cấp phép xuất khẩu nộp hồ sơ trực tiếp, trực tuyến hoặc qua dịch vụ bưu chính về Bộ Y tế, cụ thể: - Cục Quản lý Dược đối với thuốc phóng xạ, nguyên liệu làm thuốc là chất phóng xạ; thuốc độc trừ thuốc cổ truyền độc, nguyên liệu hóa dược độc làm thuốc, thuốc và dược chất trong danh mục thuốc, dược chất thuộc danh mục chất bị cấm sử dụng trong một số ngành, lĩnh vực; - Cục Quản lý Y, Dược cổ truyền đối với dược liệu độc, thuốc cổ truyền độc; Bước 2: Sau khi nhận được hồ sơ, cơ quan tiếp </w:t>
      </w:r>
      <w:r>
        <w:rPr>
          <w:rFonts w:ascii="Times New Roman" w:eastAsia="Times New Roman" w:hAnsi="Times New Roman" w:cs="Times New Roman"/>
          <w:sz w:val="26"/>
        </w:rPr>
        <w:t>nhận hồ sơ trả cho cơ sở đề nghị Phiếu tiếp nhận hồ sơ theo Mẫu số 01 tại Phụ lục I ban hành kèm theo Nghị định số 163/2025/NĐ-CP. Bước 3:  Trường hợp không có yêu cầu sửa đổi, bổ sung hồ sơ, Cục Quản lý Dược/Cục Quản lý Y, Dược cổ truyền cấp phép xuất khẩu trong thời hạn 07 ngày làm việc kể từ ngày ghi trên Phiếu tiếp nhận hồ sơ. Trường hợp có yêu cầu sửa đổi, bổ sung hồ sơ, Cục Quản lý Dược/Cục Quản lý Y, Dược cổ truyền có văn bản trả lời theo Mẫu số 16 tại Phụ lục I ban hành kèm theo Nghị định số 163/202</w:t>
      </w:r>
      <w:r>
        <w:rPr>
          <w:rFonts w:ascii="Times New Roman" w:eastAsia="Times New Roman" w:hAnsi="Times New Roman" w:cs="Times New Roman"/>
          <w:sz w:val="26"/>
        </w:rPr>
        <w:t>5/NĐ-CP để yêu cầu sửa đổi, bổ sung hồ sơ trong thời hạn 07 ngày làm việc kể từ ngày ghi trên Phiếu tiếp nhận hồ sơ. Trong thời hạn 06 tháng kể từ ngày Cục Quản lý Dược/Cục Quản lý Y, Dược cổ truyền có văn bản thông báo sửa đổi, bổ sung, cơ sở đề nghị cấp phép xuất khẩu phải nộp hồ sơ sửa đổi, bổ sung theo yêu cầu. Sau thời hạn trên, cơ sở không nộp hồ sơ sửa đổi, bổ sung thì hồ sơ đã nộp không còn giá trị. Bước 4: Sau khi nhận hồ sơ sửa đổi, bổ sung, Cục Quản lý Dược/ Cục Quản lý Y, Dược cổ truyền trả cơ s</w:t>
      </w:r>
      <w:r>
        <w:rPr>
          <w:rFonts w:ascii="Times New Roman" w:eastAsia="Times New Roman" w:hAnsi="Times New Roman" w:cs="Times New Roman"/>
          <w:sz w:val="26"/>
        </w:rPr>
        <w:t>ở Phiếu tiếp nhận hồ sơ sửa đổi, bổ sung theo Mẫu số 01 tại Phụ lục I ban hành kèm theo Nghị định số 163/2025/NĐ-CP.  Trường hợp hồ sơ sửa đổi, bổ sung không đáp ứng yêu cầu, Cục Quản lý Dược/ Cục Quản lý Y, Dược cổ truyền có văn bản trả lời và nêu rõ lý do không cấp phép xuất khẩu theo Mẫu số 16 tại Phụ lục I ban hành kèm theo Nghị định số 163/2025/NĐ-CP trong thời hạn 07 ngày làm việc kể từ ngày ghi trên Phiếu tiếp nhận hồ sơ. Trường hợp không có yêu cầu sửa đổi, bổ sung đối với hồ sơ sửa đổi, bổ sung, Cụ</w:t>
      </w:r>
      <w:r>
        <w:rPr>
          <w:rFonts w:ascii="Times New Roman" w:eastAsia="Times New Roman" w:hAnsi="Times New Roman" w:cs="Times New Roman"/>
          <w:sz w:val="26"/>
        </w:rPr>
        <w:t xml:space="preserve">c </w:t>
      </w:r>
      <w:r>
        <w:rPr>
          <w:rFonts w:ascii="Times New Roman" w:eastAsia="Times New Roman" w:hAnsi="Times New Roman" w:cs="Times New Roman"/>
          <w:sz w:val="26"/>
        </w:rPr>
        <w:lastRenderedPageBreak/>
        <w:t>Quản lý Dược/ Cục Quản lý Y, Dược cổ truyền cấp phép xuất khẩu theo quy định tại bước 3.</w:t>
      </w:r>
    </w:p>
    <w:p w:rsidR="00461E23" w:rsidRDefault="0055338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22"/>
        <w:gridCol w:w="1663"/>
        <w:gridCol w:w="2746"/>
        <w:gridCol w:w="3380"/>
      </w:tblGrid>
      <w:tr w:rsidR="00461E23">
        <w:tblPrEx>
          <w:tblCellMar>
            <w:top w:w="0" w:type="dxa"/>
            <w:bottom w:w="0" w:type="dxa"/>
          </w:tblCellMar>
        </w:tblPrEx>
        <w:tc>
          <w:tcPr>
            <w:tcW w:w="1500" w:type="dxa"/>
          </w:tcPr>
          <w:p w:rsidR="00461E23" w:rsidRDefault="00461E23"/>
          <w:p w:rsidR="00461E23" w:rsidRDefault="0055338F">
            <w:pPr>
              <w:spacing w:after="0" w:line="276" w:lineRule="auto"/>
              <w:jc w:val="center"/>
            </w:pPr>
            <w:r>
              <w:rPr>
                <w:rFonts w:ascii="Times New Roman" w:eastAsia="Times New Roman" w:hAnsi="Times New Roman" w:cs="Times New Roman"/>
                <w:b/>
                <w:sz w:val="26"/>
              </w:rPr>
              <w:t>Hình thức nộp</w:t>
            </w:r>
          </w:p>
        </w:tc>
        <w:tc>
          <w:tcPr>
            <w:tcW w:w="2000" w:type="dxa"/>
          </w:tcPr>
          <w:p w:rsidR="00461E23" w:rsidRDefault="00461E23"/>
          <w:p w:rsidR="00461E23" w:rsidRDefault="0055338F">
            <w:pPr>
              <w:spacing w:after="0" w:line="276" w:lineRule="auto"/>
              <w:jc w:val="center"/>
            </w:pPr>
            <w:r>
              <w:rPr>
                <w:rFonts w:ascii="Times New Roman" w:eastAsia="Times New Roman" w:hAnsi="Times New Roman" w:cs="Times New Roman"/>
                <w:b/>
                <w:sz w:val="26"/>
              </w:rPr>
              <w:t>Thời hạn giải quyết</w:t>
            </w:r>
          </w:p>
        </w:tc>
        <w:tc>
          <w:tcPr>
            <w:tcW w:w="3500" w:type="dxa"/>
          </w:tcPr>
          <w:p w:rsidR="00461E23" w:rsidRDefault="00461E23"/>
          <w:p w:rsidR="00461E23" w:rsidRDefault="0055338F">
            <w:pPr>
              <w:spacing w:after="0" w:line="276" w:lineRule="auto"/>
              <w:jc w:val="center"/>
            </w:pPr>
            <w:r>
              <w:rPr>
                <w:rFonts w:ascii="Times New Roman" w:eastAsia="Times New Roman" w:hAnsi="Times New Roman" w:cs="Times New Roman"/>
                <w:b/>
                <w:sz w:val="26"/>
              </w:rPr>
              <w:t>Phí, lệ phí</w:t>
            </w:r>
          </w:p>
        </w:tc>
        <w:tc>
          <w:tcPr>
            <w:tcW w:w="3000" w:type="dxa"/>
          </w:tcPr>
          <w:p w:rsidR="00461E23" w:rsidRDefault="00461E23"/>
          <w:p w:rsidR="00461E23" w:rsidRDefault="0055338F">
            <w:pPr>
              <w:spacing w:after="0" w:line="276" w:lineRule="auto"/>
              <w:jc w:val="center"/>
            </w:pPr>
            <w:r>
              <w:rPr>
                <w:rFonts w:ascii="Times New Roman" w:eastAsia="Times New Roman" w:hAnsi="Times New Roman" w:cs="Times New Roman"/>
                <w:b/>
                <w:sz w:val="26"/>
              </w:rPr>
              <w:t>Mô tả</w:t>
            </w:r>
          </w:p>
        </w:tc>
      </w:tr>
      <w:tr w:rsidR="00461E23">
        <w:tblPrEx>
          <w:tblCellMar>
            <w:top w:w="0" w:type="dxa"/>
            <w:bottom w:w="0" w:type="dxa"/>
          </w:tblCellMar>
        </w:tblPrEx>
        <w:tc>
          <w:tcPr>
            <w:tcW w:w="0" w:type="auto"/>
          </w:tcPr>
          <w:p w:rsidR="00461E23" w:rsidRDefault="00461E23"/>
          <w:p w:rsidR="00461E23" w:rsidRDefault="0055338F">
            <w:pPr>
              <w:spacing w:after="0" w:line="276" w:lineRule="auto"/>
            </w:pPr>
            <w:r>
              <w:rPr>
                <w:rFonts w:ascii="Times New Roman" w:eastAsia="Times New Roman" w:hAnsi="Times New Roman" w:cs="Times New Roman"/>
                <w:sz w:val="26"/>
              </w:rPr>
              <w:t>Trực tiếp</w:t>
            </w:r>
          </w:p>
        </w:tc>
        <w:tc>
          <w:tcPr>
            <w:tcW w:w="0" w:type="auto"/>
          </w:tcPr>
          <w:p w:rsidR="00461E23" w:rsidRDefault="00461E23"/>
          <w:p w:rsidR="00461E23" w:rsidRDefault="0055338F">
            <w:pPr>
              <w:spacing w:after="0" w:line="276" w:lineRule="auto"/>
            </w:pPr>
            <w:r>
              <w:rPr>
                <w:rFonts w:ascii="Times New Roman" w:eastAsia="Times New Roman" w:hAnsi="Times New Roman" w:cs="Times New Roman"/>
                <w:sz w:val="26"/>
              </w:rPr>
              <w:t>7 Ngày làm việc</w:t>
            </w:r>
          </w:p>
        </w:tc>
        <w:tc>
          <w:tcPr>
            <w:tcW w:w="0" w:type="auto"/>
          </w:tcPr>
          <w:p w:rsidR="00461E23" w:rsidRDefault="00461E23"/>
          <w:p w:rsidR="00461E23" w:rsidRDefault="00461E23">
            <w:pPr>
              <w:spacing w:after="0" w:line="276" w:lineRule="auto"/>
            </w:pPr>
          </w:p>
        </w:tc>
        <w:tc>
          <w:tcPr>
            <w:tcW w:w="0" w:type="auto"/>
          </w:tcPr>
          <w:p w:rsidR="00461E23" w:rsidRDefault="00461E23"/>
          <w:p w:rsidR="00461E23" w:rsidRDefault="0055338F">
            <w:pPr>
              <w:spacing w:after="0" w:line="276" w:lineRule="auto"/>
            </w:pPr>
            <w:r>
              <w:rPr>
                <w:rFonts w:ascii="Times New Roman" w:eastAsia="Times New Roman" w:hAnsi="Times New Roman" w:cs="Times New Roman"/>
                <w:sz w:val="26"/>
              </w:rPr>
              <w:t>kể từ ngày ghi trên Phiếu tiếp nhận hồ sơ</w:t>
            </w:r>
          </w:p>
        </w:tc>
      </w:tr>
      <w:tr w:rsidR="00461E23">
        <w:tblPrEx>
          <w:tblCellMar>
            <w:top w:w="0" w:type="dxa"/>
            <w:bottom w:w="0" w:type="dxa"/>
          </w:tblCellMar>
        </w:tblPrEx>
        <w:tc>
          <w:tcPr>
            <w:tcW w:w="0" w:type="auto"/>
          </w:tcPr>
          <w:p w:rsidR="00461E23" w:rsidRDefault="00461E23"/>
          <w:p w:rsidR="00461E23" w:rsidRDefault="0055338F">
            <w:pPr>
              <w:spacing w:after="0" w:line="276" w:lineRule="auto"/>
            </w:pPr>
            <w:r>
              <w:rPr>
                <w:rFonts w:ascii="Times New Roman" w:eastAsia="Times New Roman" w:hAnsi="Times New Roman" w:cs="Times New Roman"/>
                <w:sz w:val="26"/>
              </w:rPr>
              <w:t>Trực tuyến</w:t>
            </w:r>
          </w:p>
        </w:tc>
        <w:tc>
          <w:tcPr>
            <w:tcW w:w="0" w:type="auto"/>
          </w:tcPr>
          <w:p w:rsidR="00461E23" w:rsidRDefault="00461E23"/>
          <w:p w:rsidR="00461E23" w:rsidRDefault="0055338F">
            <w:pPr>
              <w:spacing w:after="0" w:line="276" w:lineRule="auto"/>
            </w:pPr>
            <w:r>
              <w:rPr>
                <w:rFonts w:ascii="Times New Roman" w:eastAsia="Times New Roman" w:hAnsi="Times New Roman" w:cs="Times New Roman"/>
                <w:sz w:val="26"/>
              </w:rPr>
              <w:t>7 Ngày làm việc</w:t>
            </w:r>
          </w:p>
        </w:tc>
        <w:tc>
          <w:tcPr>
            <w:tcW w:w="0" w:type="auto"/>
          </w:tcPr>
          <w:p w:rsidR="00461E23" w:rsidRDefault="00461E23"/>
          <w:p w:rsidR="00461E23" w:rsidRDefault="00461E23">
            <w:pPr>
              <w:spacing w:after="0" w:line="276" w:lineRule="auto"/>
            </w:pPr>
          </w:p>
        </w:tc>
        <w:tc>
          <w:tcPr>
            <w:tcW w:w="0" w:type="auto"/>
          </w:tcPr>
          <w:p w:rsidR="00461E23" w:rsidRDefault="00461E23"/>
          <w:p w:rsidR="00461E23" w:rsidRDefault="0055338F">
            <w:pPr>
              <w:spacing w:after="0" w:line="276" w:lineRule="auto"/>
            </w:pPr>
            <w:r>
              <w:rPr>
                <w:rFonts w:ascii="Times New Roman" w:eastAsia="Times New Roman" w:hAnsi="Times New Roman" w:cs="Times New Roman"/>
                <w:sz w:val="26"/>
              </w:rPr>
              <w:t>kể từ ngày ghi trên Phiếu tiếp nhận hồ sơ</w:t>
            </w:r>
          </w:p>
        </w:tc>
      </w:tr>
      <w:tr w:rsidR="00461E23">
        <w:tblPrEx>
          <w:tblCellMar>
            <w:top w:w="0" w:type="dxa"/>
            <w:bottom w:w="0" w:type="dxa"/>
          </w:tblCellMar>
        </w:tblPrEx>
        <w:tc>
          <w:tcPr>
            <w:tcW w:w="0" w:type="auto"/>
          </w:tcPr>
          <w:p w:rsidR="00461E23" w:rsidRDefault="00461E23"/>
          <w:p w:rsidR="00461E23" w:rsidRDefault="0055338F">
            <w:pPr>
              <w:spacing w:after="0" w:line="276" w:lineRule="auto"/>
            </w:pPr>
            <w:r>
              <w:rPr>
                <w:rFonts w:ascii="Times New Roman" w:eastAsia="Times New Roman" w:hAnsi="Times New Roman" w:cs="Times New Roman"/>
                <w:sz w:val="26"/>
              </w:rPr>
              <w:t>Dịch vụ bưu chính</w:t>
            </w:r>
          </w:p>
        </w:tc>
        <w:tc>
          <w:tcPr>
            <w:tcW w:w="0" w:type="auto"/>
          </w:tcPr>
          <w:p w:rsidR="00461E23" w:rsidRDefault="00461E23"/>
          <w:p w:rsidR="00461E23" w:rsidRDefault="0055338F">
            <w:pPr>
              <w:spacing w:after="0" w:line="276" w:lineRule="auto"/>
            </w:pPr>
            <w:r>
              <w:rPr>
                <w:rFonts w:ascii="Times New Roman" w:eastAsia="Times New Roman" w:hAnsi="Times New Roman" w:cs="Times New Roman"/>
                <w:sz w:val="26"/>
              </w:rPr>
              <w:t>7 Ngày làm việc</w:t>
            </w:r>
          </w:p>
        </w:tc>
        <w:tc>
          <w:tcPr>
            <w:tcW w:w="0" w:type="auto"/>
          </w:tcPr>
          <w:p w:rsidR="00461E23" w:rsidRDefault="00461E23"/>
          <w:p w:rsidR="00461E23" w:rsidRDefault="00461E23">
            <w:pPr>
              <w:spacing w:after="0" w:line="276" w:lineRule="auto"/>
            </w:pPr>
          </w:p>
        </w:tc>
        <w:tc>
          <w:tcPr>
            <w:tcW w:w="0" w:type="auto"/>
          </w:tcPr>
          <w:p w:rsidR="00461E23" w:rsidRDefault="00461E23"/>
          <w:p w:rsidR="00461E23" w:rsidRDefault="0055338F">
            <w:pPr>
              <w:spacing w:after="0" w:line="276" w:lineRule="auto"/>
            </w:pPr>
            <w:r>
              <w:rPr>
                <w:rFonts w:ascii="Times New Roman" w:eastAsia="Times New Roman" w:hAnsi="Times New Roman" w:cs="Times New Roman"/>
                <w:sz w:val="26"/>
              </w:rPr>
              <w:t>kể từ ngày ghi trên Phiếu tiếp nhận hồ sơ</w:t>
            </w:r>
          </w:p>
        </w:tc>
      </w:tr>
    </w:tbl>
    <w:p w:rsidR="00461E23" w:rsidRDefault="0055338F">
      <w:pPr>
        <w:spacing w:before="240" w:after="0" w:line="276" w:lineRule="auto"/>
        <w:jc w:val="both"/>
      </w:pPr>
      <w:r>
        <w:rPr>
          <w:rFonts w:ascii="Times New Roman" w:eastAsia="Times New Roman" w:hAnsi="Times New Roman" w:cs="Times New Roman"/>
          <w:b/>
          <w:sz w:val="26"/>
        </w:rPr>
        <w:t xml:space="preserve">Thành phần hồ sơ: </w:t>
      </w:r>
    </w:p>
    <w:p w:rsidR="00461E23" w:rsidRDefault="0055338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86"/>
        <w:gridCol w:w="1561"/>
        <w:gridCol w:w="1364"/>
      </w:tblGrid>
      <w:tr w:rsidR="00461E23">
        <w:tblPrEx>
          <w:tblCellMar>
            <w:top w:w="0" w:type="dxa"/>
            <w:bottom w:w="0" w:type="dxa"/>
          </w:tblCellMar>
        </w:tblPrEx>
        <w:tc>
          <w:tcPr>
            <w:tcW w:w="6000" w:type="dxa"/>
          </w:tcPr>
          <w:p w:rsidR="00461E23" w:rsidRDefault="00461E23"/>
          <w:p w:rsidR="00461E23" w:rsidRDefault="0055338F">
            <w:pPr>
              <w:spacing w:after="0" w:line="276" w:lineRule="auto"/>
              <w:jc w:val="center"/>
            </w:pPr>
            <w:r>
              <w:rPr>
                <w:rFonts w:ascii="Times New Roman" w:eastAsia="Times New Roman" w:hAnsi="Times New Roman" w:cs="Times New Roman"/>
                <w:b/>
                <w:sz w:val="26"/>
              </w:rPr>
              <w:t>Tên giấy tờ</w:t>
            </w:r>
          </w:p>
        </w:tc>
        <w:tc>
          <w:tcPr>
            <w:tcW w:w="2000" w:type="dxa"/>
          </w:tcPr>
          <w:p w:rsidR="00461E23" w:rsidRDefault="00461E23"/>
          <w:p w:rsidR="00461E23" w:rsidRDefault="0055338F">
            <w:pPr>
              <w:spacing w:after="0" w:line="276" w:lineRule="auto"/>
              <w:jc w:val="center"/>
            </w:pPr>
            <w:r>
              <w:rPr>
                <w:rFonts w:ascii="Times New Roman" w:eastAsia="Times New Roman" w:hAnsi="Times New Roman" w:cs="Times New Roman"/>
                <w:b/>
                <w:sz w:val="26"/>
              </w:rPr>
              <w:t>Mẫu đơn, tờ khai</w:t>
            </w:r>
          </w:p>
        </w:tc>
        <w:tc>
          <w:tcPr>
            <w:tcW w:w="2000" w:type="dxa"/>
          </w:tcPr>
          <w:p w:rsidR="00461E23" w:rsidRDefault="00461E23"/>
          <w:p w:rsidR="00461E23" w:rsidRDefault="0055338F">
            <w:pPr>
              <w:spacing w:after="0" w:line="276" w:lineRule="auto"/>
              <w:jc w:val="center"/>
            </w:pPr>
            <w:r>
              <w:rPr>
                <w:rFonts w:ascii="Times New Roman" w:eastAsia="Times New Roman" w:hAnsi="Times New Roman" w:cs="Times New Roman"/>
                <w:b/>
                <w:sz w:val="26"/>
              </w:rPr>
              <w:t>Số lượng</w:t>
            </w:r>
          </w:p>
        </w:tc>
      </w:tr>
      <w:tr w:rsidR="00461E23">
        <w:tblPrEx>
          <w:tblCellMar>
            <w:top w:w="0" w:type="dxa"/>
            <w:bottom w:w="0" w:type="dxa"/>
          </w:tblCellMar>
        </w:tblPrEx>
        <w:tc>
          <w:tcPr>
            <w:tcW w:w="0" w:type="auto"/>
          </w:tcPr>
          <w:p w:rsidR="00461E23" w:rsidRDefault="00461E23"/>
          <w:p w:rsidR="00461E23" w:rsidRDefault="0055338F">
            <w:pPr>
              <w:spacing w:after="0" w:line="276" w:lineRule="auto"/>
            </w:pPr>
            <w:r>
              <w:rPr>
                <w:rFonts w:ascii="Times New Roman" w:eastAsia="Times New Roman" w:hAnsi="Times New Roman" w:cs="Times New Roman"/>
                <w:sz w:val="26"/>
              </w:rPr>
              <w:t>Đơn hàng xuất khẩu Mẫu số 04 hoặc 05 tại Phụ lục III ban hành kèm theo Nghị định số 163/2025/NĐ-CP</w:t>
            </w:r>
          </w:p>
        </w:tc>
        <w:tc>
          <w:tcPr>
            <w:tcW w:w="0" w:type="auto"/>
          </w:tcPr>
          <w:p w:rsidR="00461E23" w:rsidRDefault="00461E23"/>
          <w:p w:rsidR="00461E23" w:rsidRDefault="0055338F">
            <w:pPr>
              <w:spacing w:after="0" w:line="276" w:lineRule="auto"/>
            </w:pPr>
            <w:r>
              <w:rPr>
                <w:rFonts w:ascii="Times New Roman" w:eastAsia="Times New Roman" w:hAnsi="Times New Roman" w:cs="Times New Roman"/>
                <w:sz w:val="26"/>
              </w:rPr>
              <w:t>Mu1.docx</w:t>
            </w:r>
          </w:p>
        </w:tc>
        <w:tc>
          <w:tcPr>
            <w:tcW w:w="0" w:type="auto"/>
          </w:tcPr>
          <w:p w:rsidR="00461E23" w:rsidRDefault="00461E23"/>
          <w:p w:rsidR="00461E23" w:rsidRDefault="0055338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461E23" w:rsidRDefault="0055338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461E23" w:rsidRDefault="0055338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Y tế</w:t>
      </w:r>
    </w:p>
    <w:p w:rsidR="00461E23" w:rsidRDefault="0055338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461E23" w:rsidRDefault="0055338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461E23" w:rsidRDefault="0055338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461E23" w:rsidRDefault="0055338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461E23" w:rsidRDefault="0055338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thông báo kết quả giải quyết hồ sơ, Giấy phép xuất khẩu</w:t>
      </w:r>
    </w:p>
    <w:p w:rsidR="00461E23" w:rsidRDefault="0055338F">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52"/>
        <w:gridCol w:w="6002"/>
        <w:gridCol w:w="727"/>
        <w:gridCol w:w="930"/>
      </w:tblGrid>
      <w:tr w:rsidR="00461E23">
        <w:tblPrEx>
          <w:tblCellMar>
            <w:top w:w="0" w:type="dxa"/>
            <w:bottom w:w="0" w:type="dxa"/>
          </w:tblCellMar>
        </w:tblPrEx>
        <w:tc>
          <w:tcPr>
            <w:tcW w:w="2000" w:type="dxa"/>
          </w:tcPr>
          <w:p w:rsidR="00461E23" w:rsidRDefault="00461E23"/>
          <w:p w:rsidR="00461E23" w:rsidRDefault="0055338F">
            <w:pPr>
              <w:spacing w:after="0" w:line="276" w:lineRule="auto"/>
              <w:jc w:val="center"/>
            </w:pPr>
            <w:r>
              <w:rPr>
                <w:rFonts w:ascii="Times New Roman" w:eastAsia="Times New Roman" w:hAnsi="Times New Roman" w:cs="Times New Roman"/>
                <w:b/>
                <w:sz w:val="26"/>
              </w:rPr>
              <w:lastRenderedPageBreak/>
              <w:t>Số ký hiệu</w:t>
            </w:r>
          </w:p>
        </w:tc>
        <w:tc>
          <w:tcPr>
            <w:tcW w:w="3500" w:type="dxa"/>
          </w:tcPr>
          <w:p w:rsidR="00461E23" w:rsidRDefault="00461E23"/>
          <w:p w:rsidR="00461E23" w:rsidRDefault="0055338F">
            <w:pPr>
              <w:spacing w:after="0" w:line="276" w:lineRule="auto"/>
              <w:jc w:val="center"/>
            </w:pPr>
            <w:r>
              <w:rPr>
                <w:rFonts w:ascii="Times New Roman" w:eastAsia="Times New Roman" w:hAnsi="Times New Roman" w:cs="Times New Roman"/>
                <w:b/>
                <w:sz w:val="26"/>
              </w:rPr>
              <w:lastRenderedPageBreak/>
              <w:t>Trích yếu</w:t>
            </w:r>
          </w:p>
        </w:tc>
        <w:tc>
          <w:tcPr>
            <w:tcW w:w="1500" w:type="dxa"/>
          </w:tcPr>
          <w:p w:rsidR="00461E23" w:rsidRDefault="00461E23"/>
          <w:p w:rsidR="00461E23" w:rsidRDefault="0055338F">
            <w:pPr>
              <w:spacing w:after="0" w:line="276" w:lineRule="auto"/>
              <w:jc w:val="center"/>
            </w:pPr>
            <w:r>
              <w:rPr>
                <w:rFonts w:ascii="Times New Roman" w:eastAsia="Times New Roman" w:hAnsi="Times New Roman" w:cs="Times New Roman"/>
                <w:b/>
                <w:sz w:val="26"/>
              </w:rPr>
              <w:lastRenderedPageBreak/>
              <w:t>Ngày ban hành</w:t>
            </w:r>
          </w:p>
        </w:tc>
        <w:tc>
          <w:tcPr>
            <w:tcW w:w="3000" w:type="dxa"/>
          </w:tcPr>
          <w:p w:rsidR="00461E23" w:rsidRDefault="00461E23"/>
          <w:p w:rsidR="00461E23" w:rsidRDefault="0055338F">
            <w:pPr>
              <w:spacing w:after="0" w:line="276" w:lineRule="auto"/>
              <w:jc w:val="center"/>
            </w:pPr>
            <w:r>
              <w:rPr>
                <w:rFonts w:ascii="Times New Roman" w:eastAsia="Times New Roman" w:hAnsi="Times New Roman" w:cs="Times New Roman"/>
                <w:b/>
                <w:sz w:val="26"/>
              </w:rPr>
              <w:lastRenderedPageBreak/>
              <w:t>Cơ quan ban hành</w:t>
            </w:r>
          </w:p>
        </w:tc>
      </w:tr>
      <w:tr w:rsidR="00461E23">
        <w:tblPrEx>
          <w:tblCellMar>
            <w:top w:w="0" w:type="dxa"/>
            <w:bottom w:w="0" w:type="dxa"/>
          </w:tblCellMar>
        </w:tblPrEx>
        <w:tc>
          <w:tcPr>
            <w:tcW w:w="0" w:type="auto"/>
          </w:tcPr>
          <w:p w:rsidR="00461E23" w:rsidRDefault="00461E23"/>
          <w:p w:rsidR="00461E23" w:rsidRDefault="0055338F">
            <w:pPr>
              <w:spacing w:after="0" w:line="276" w:lineRule="auto"/>
            </w:pPr>
            <w:r>
              <w:rPr>
                <w:rFonts w:ascii="Times New Roman" w:eastAsia="Times New Roman" w:hAnsi="Times New Roman" w:cs="Times New Roman"/>
                <w:sz w:val="26"/>
              </w:rPr>
              <w:t>105/2016/QH13</w:t>
            </w:r>
          </w:p>
        </w:tc>
        <w:tc>
          <w:tcPr>
            <w:tcW w:w="0" w:type="auto"/>
          </w:tcPr>
          <w:p w:rsidR="00461E23" w:rsidRDefault="00461E23"/>
          <w:p w:rsidR="00461E23" w:rsidRDefault="0055338F">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rsidR="00461E23" w:rsidRDefault="00461E23"/>
          <w:p w:rsidR="00461E23" w:rsidRDefault="0055338F">
            <w:pPr>
              <w:spacing w:after="0" w:line="276" w:lineRule="auto"/>
            </w:pPr>
            <w:r>
              <w:rPr>
                <w:rFonts w:ascii="Times New Roman" w:eastAsia="Times New Roman" w:hAnsi="Times New Roman" w:cs="Times New Roman"/>
                <w:sz w:val="26"/>
              </w:rPr>
              <w:t>06-04-2016</w:t>
            </w:r>
          </w:p>
        </w:tc>
        <w:tc>
          <w:tcPr>
            <w:tcW w:w="0" w:type="auto"/>
          </w:tcPr>
          <w:p w:rsidR="00461E23" w:rsidRDefault="00461E23"/>
        </w:tc>
      </w:tr>
      <w:tr w:rsidR="00461E23">
        <w:tblPrEx>
          <w:tblCellMar>
            <w:top w:w="0" w:type="dxa"/>
            <w:bottom w:w="0" w:type="dxa"/>
          </w:tblCellMar>
        </w:tblPrEx>
        <w:tc>
          <w:tcPr>
            <w:tcW w:w="0" w:type="auto"/>
          </w:tcPr>
          <w:p w:rsidR="00461E23" w:rsidRDefault="00461E23"/>
          <w:p w:rsidR="00461E23" w:rsidRDefault="0055338F">
            <w:pPr>
              <w:spacing w:after="0" w:line="276" w:lineRule="auto"/>
            </w:pPr>
            <w:r>
              <w:rPr>
                <w:rFonts w:ascii="Times New Roman" w:eastAsia="Times New Roman" w:hAnsi="Times New Roman" w:cs="Times New Roman"/>
                <w:sz w:val="26"/>
              </w:rPr>
              <w:t>44/2024/QH15</w:t>
            </w:r>
          </w:p>
        </w:tc>
        <w:tc>
          <w:tcPr>
            <w:tcW w:w="0" w:type="auto"/>
          </w:tcPr>
          <w:p w:rsidR="00461E23" w:rsidRDefault="00461E23"/>
          <w:p w:rsidR="00461E23" w:rsidRDefault="0055338F">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rsidR="00461E23" w:rsidRDefault="00461E23"/>
          <w:p w:rsidR="00461E23" w:rsidRDefault="0055338F">
            <w:pPr>
              <w:spacing w:after="0" w:line="276" w:lineRule="auto"/>
            </w:pPr>
            <w:r>
              <w:rPr>
                <w:rFonts w:ascii="Times New Roman" w:eastAsia="Times New Roman" w:hAnsi="Times New Roman" w:cs="Times New Roman"/>
                <w:sz w:val="26"/>
              </w:rPr>
              <w:t>21-11-2024</w:t>
            </w:r>
          </w:p>
        </w:tc>
        <w:tc>
          <w:tcPr>
            <w:tcW w:w="0" w:type="auto"/>
          </w:tcPr>
          <w:p w:rsidR="00461E23" w:rsidRDefault="00461E23"/>
        </w:tc>
      </w:tr>
      <w:tr w:rsidR="00461E23">
        <w:tblPrEx>
          <w:tblCellMar>
            <w:top w:w="0" w:type="dxa"/>
            <w:bottom w:w="0" w:type="dxa"/>
          </w:tblCellMar>
        </w:tblPrEx>
        <w:tc>
          <w:tcPr>
            <w:tcW w:w="0" w:type="auto"/>
          </w:tcPr>
          <w:p w:rsidR="00461E23" w:rsidRDefault="00461E23"/>
          <w:p w:rsidR="00461E23" w:rsidRDefault="0055338F">
            <w:pPr>
              <w:spacing w:after="0" w:line="276" w:lineRule="auto"/>
            </w:pPr>
            <w:r>
              <w:rPr>
                <w:rFonts w:ascii="Times New Roman" w:eastAsia="Times New Roman" w:hAnsi="Times New Roman" w:cs="Times New Roman"/>
                <w:sz w:val="26"/>
              </w:rPr>
              <w:t>163/2025/NĐ-CP</w:t>
            </w:r>
          </w:p>
        </w:tc>
        <w:tc>
          <w:tcPr>
            <w:tcW w:w="0" w:type="auto"/>
          </w:tcPr>
          <w:p w:rsidR="00461E23" w:rsidRDefault="00461E23"/>
          <w:p w:rsidR="00461E23" w:rsidRDefault="0055338F">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rsidR="00461E23" w:rsidRDefault="00461E23"/>
          <w:p w:rsidR="00461E23" w:rsidRDefault="0055338F">
            <w:pPr>
              <w:spacing w:after="0" w:line="276" w:lineRule="auto"/>
            </w:pPr>
            <w:r>
              <w:rPr>
                <w:rFonts w:ascii="Times New Roman" w:eastAsia="Times New Roman" w:hAnsi="Times New Roman" w:cs="Times New Roman"/>
                <w:sz w:val="26"/>
              </w:rPr>
              <w:t>29-06-2025</w:t>
            </w:r>
          </w:p>
        </w:tc>
        <w:tc>
          <w:tcPr>
            <w:tcW w:w="0" w:type="auto"/>
          </w:tcPr>
          <w:p w:rsidR="00461E23" w:rsidRDefault="00461E23"/>
        </w:tc>
      </w:tr>
      <w:tr w:rsidR="00461E23">
        <w:tblPrEx>
          <w:tblCellMar>
            <w:top w:w="0" w:type="dxa"/>
            <w:bottom w:w="0" w:type="dxa"/>
          </w:tblCellMar>
        </w:tblPrEx>
        <w:tc>
          <w:tcPr>
            <w:tcW w:w="0" w:type="auto"/>
          </w:tcPr>
          <w:p w:rsidR="00461E23" w:rsidRDefault="00461E23"/>
          <w:p w:rsidR="00461E23" w:rsidRDefault="0055338F">
            <w:pPr>
              <w:spacing w:after="0" w:line="276" w:lineRule="auto"/>
            </w:pPr>
            <w:r>
              <w:rPr>
                <w:rFonts w:ascii="Times New Roman" w:eastAsia="Times New Roman" w:hAnsi="Times New Roman" w:cs="Times New Roman"/>
                <w:sz w:val="26"/>
              </w:rPr>
              <w:t>20/2017/TT-BYT</w:t>
            </w:r>
          </w:p>
        </w:tc>
        <w:tc>
          <w:tcPr>
            <w:tcW w:w="0" w:type="auto"/>
          </w:tcPr>
          <w:p w:rsidR="00461E23" w:rsidRDefault="00461E23"/>
          <w:p w:rsidR="00461E23" w:rsidRDefault="0055338F">
            <w:pPr>
              <w:spacing w:after="0" w:line="276" w:lineRule="auto"/>
            </w:pPr>
            <w:r>
              <w:rPr>
                <w:rFonts w:ascii="Times New Roman" w:eastAsia="Times New Roman" w:hAnsi="Times New Roman" w:cs="Times New Roman"/>
                <w:sz w:val="26"/>
              </w:rPr>
              <w:t>Thông tư của Bộ trưởng Bộ Y tế quy định chi tiết một số điều của Luật Dược và Nghị định số 54/2017/NĐ-CP ngày 08 tháng 5 năm 2017 của Chính phủ về thuốc và nguyên liệu làm thuốc phải kiểm soát đặc biệt, được sửa đổi, bổ sung bởi Thông tư số 27/TT-BYT ngày 01 tháng 11 năm 2024 của Bộ trưởng Bộ Y tế</w:t>
            </w:r>
          </w:p>
        </w:tc>
        <w:tc>
          <w:tcPr>
            <w:tcW w:w="0" w:type="auto"/>
          </w:tcPr>
          <w:p w:rsidR="00461E23" w:rsidRDefault="00461E23"/>
          <w:p w:rsidR="00461E23" w:rsidRDefault="0055338F">
            <w:pPr>
              <w:spacing w:after="0" w:line="276" w:lineRule="auto"/>
            </w:pPr>
            <w:r>
              <w:rPr>
                <w:rFonts w:ascii="Times New Roman" w:eastAsia="Times New Roman" w:hAnsi="Times New Roman" w:cs="Times New Roman"/>
                <w:sz w:val="26"/>
              </w:rPr>
              <w:t>10-05-2017</w:t>
            </w:r>
          </w:p>
        </w:tc>
        <w:tc>
          <w:tcPr>
            <w:tcW w:w="0" w:type="auto"/>
          </w:tcPr>
          <w:p w:rsidR="00461E23" w:rsidRDefault="00461E23"/>
        </w:tc>
      </w:tr>
    </w:tbl>
    <w:p w:rsidR="00461E23" w:rsidRDefault="0055338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1. Thuốc phóng xạ, nguyên liệu làm thuốc là chất phóng xạ; thuốc độc, nguyên liệu độc làm thuốc; thuốc, dược chất trong danh mục thuốc, dược chất thuộc danh mục chất bị cấm sử dụng  trong một số ngành, lĩnh vực chỉ được cấp phép xuất khẩu khi đáp ứng một trong các tiêu chí sau:  a) Được sản xuất tại Việt Nam: Có giấy đăng ký lưu hành hoặc chưa có giấy đăng ký lưu hành thuốc tại Việt Nam;   b) Được sản xuất tại nước ngoài: Đã được cấp phép lưu hành tại Việt Nam.  2. Cơ sở xuất khẩu là cơ sở đã được cấp Giấy </w:t>
      </w:r>
      <w:r>
        <w:rPr>
          <w:rFonts w:ascii="Times New Roman" w:eastAsia="Times New Roman" w:hAnsi="Times New Roman" w:cs="Times New Roman"/>
          <w:sz w:val="26"/>
        </w:rPr>
        <w:t>chứng nhận đủ điều kiện kinh doanh dược, phạm vi: xuất khẩu, nhập khẩu thuốc có phạm vi kinh doanh phù hợp với thuốc đề nghị xuất khẩu.</w:t>
      </w:r>
    </w:p>
    <w:p w:rsidR="00461E23" w:rsidRDefault="0055338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461E23" w:rsidRDefault="0055338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https://thutuc.dichvucong.gov.vn/p/home/dvc-tthc-thu-tuc-hanh-chinh-chi-tiet.html?ma_thu_tuc=406873</w:t>
      </w:r>
    </w:p>
    <w:sectPr w:rsidR="00461E2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61E23"/>
    <w:rsid w:val="00461E23"/>
    <w:rsid w:val="0055338F"/>
    <w:rsid w:val="00896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D39481-472E-4128-9BDF-CB89156C9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2025-12-02T12:24:00Z</dcterms:created>
  <dcterms:modified xsi:type="dcterms:W3CDTF">2025-12-02T12:24:00Z</dcterms:modified>
</cp:coreProperties>
</file>