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F32AD" w:rsidRDefault="001458D7">
      <w:pPr>
        <w:spacing w:after="300" w:line="276" w:lineRule="auto"/>
        <w:jc w:val="center"/>
      </w:pPr>
      <w:r>
        <w:rPr>
          <w:rFonts w:ascii="Times New Roman" w:eastAsia="Times New Roman" w:hAnsi="Times New Roman" w:cs="Times New Roman"/>
          <w:b/>
          <w:sz w:val="26"/>
        </w:rPr>
        <w:t>Chi tiết thủ tục hành chính</w:t>
      </w:r>
    </w:p>
    <w:p w:rsidR="00AF32AD" w:rsidRDefault="001458D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1.014115</w:t>
      </w:r>
    </w:p>
    <w:p w:rsidR="00AF32AD" w:rsidRDefault="001458D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2278/QĐ-BYT</w:t>
      </w:r>
    </w:p>
    <w:p w:rsidR="00AF32AD" w:rsidRDefault="001458D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phép nhập khẩu thuốc chưa có giấy đăng ký lưu hành tại Việt Nam dùng cho mục đích thử lâm sàng, thử tương đương sinh học, đánh giá sinh khả dụng, làm mẫu kiểm nghiệm, nghiên cứu khoa học</w:t>
      </w:r>
    </w:p>
    <w:p w:rsidR="00AF32AD" w:rsidRDefault="001458D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AF32AD" w:rsidRDefault="001458D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AF32AD" w:rsidRDefault="001458D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rsidR="00AF32AD" w:rsidRDefault="001458D7">
      <w:pPr>
        <w:spacing w:after="0" w:line="276" w:lineRule="auto"/>
        <w:jc w:val="both"/>
      </w:pPr>
      <w:r>
        <w:rPr>
          <w:rFonts w:ascii="Times New Roman" w:eastAsia="Times New Roman" w:hAnsi="Times New Roman" w:cs="Times New Roman"/>
          <w:b/>
          <w:sz w:val="26"/>
        </w:rPr>
        <w:t xml:space="preserve">Trình tự thực hiện: </w:t>
      </w:r>
    </w:p>
    <w:p w:rsidR="00AF32AD" w:rsidRDefault="00AF32AD">
      <w:pPr>
        <w:shd w:val="clear" w:color="auto" w:fill="F2F6F9"/>
        <w:spacing w:before="120" w:after="0" w:line="276" w:lineRule="auto"/>
        <w:jc w:val="both"/>
      </w:pPr>
    </w:p>
    <w:p w:rsidR="00AF32AD" w:rsidRDefault="001458D7">
      <w:pPr>
        <w:spacing w:after="0" w:line="276" w:lineRule="auto"/>
        <w:jc w:val="both"/>
      </w:pPr>
      <w:r>
        <w:rPr>
          <w:rFonts w:ascii="Times New Roman" w:eastAsia="Times New Roman" w:hAnsi="Times New Roman" w:cs="Times New Roman"/>
          <w:sz w:val="26"/>
        </w:rPr>
        <w:t>Bước 1: Cơ sở đề nghị cấp phép nhập khẩu nộp hồ sơ trực tiếp hoặc qua dịch vụ bưu chính hoặc trực tuyến về Bộ Y tế, cụ thể: - Cục Quản lý Dược đối với thuốc hóa dược, thuốc dược liệu; vắc xin và sinh phẩm; - Cục Quản lý Y, Dược cổ truyền đối với thuốc cổ truyền;</w:t>
      </w:r>
    </w:p>
    <w:p w:rsidR="00AF32AD" w:rsidRDefault="001458D7">
      <w:pPr>
        <w:spacing w:after="0" w:line="276" w:lineRule="auto"/>
        <w:jc w:val="both"/>
      </w:pPr>
      <w:r>
        <w:rPr>
          <w:rFonts w:ascii="Times New Roman" w:eastAsia="Times New Roman" w:hAnsi="Times New Roman" w:cs="Times New Roman"/>
          <w:sz w:val="26"/>
        </w:rPr>
        <w:t>Bước 2: Sau khi nhận được hồ sơ, cơ quan tiếp nhận hồ sơ trả cho cơ sở đề nghị Phiếu tiếp nhận hồ sơ theo Mẫu số 01 tại Phụ lục I ban hành kèm theo Nghị định số 163/2025/NĐ-CP;</w:t>
      </w:r>
    </w:p>
    <w:p w:rsidR="00AF32AD" w:rsidRDefault="001458D7">
      <w:pPr>
        <w:spacing w:after="0" w:line="276" w:lineRule="auto"/>
        <w:jc w:val="both"/>
      </w:pPr>
      <w:r>
        <w:rPr>
          <w:rFonts w:ascii="Times New Roman" w:eastAsia="Times New Roman" w:hAnsi="Times New Roman" w:cs="Times New Roman"/>
          <w:sz w:val="26"/>
        </w:rPr>
        <w:t xml:space="preserve">Bước 3: Trường hợp không có yêu cầu sửa đổi, bổ sung hồ sơ, trong thời hạn 15 ngày kể từ ngày ghi trên Phiếu tiếp nhận hồ sơ, Cục Quản lý Dược/ Cục Quản lý Y, Dược cổ truyền cấp phép nhập khẩu theo Mẫu số 28, 29, 30 hoặc 31 tại Phụ lục III ban hành kèm theo Nghị định số 163/2025/NĐ-CP. Trường hợp có yêu cầu sửa đổi, bổ sung hồ sơ, trong thời hạn 15 ngày kể từ ngày ghi trên Phiếu tiếp nhận hồ sơ, Cục Quản lý Dược/ Cục Quản lý Y, Dược cổ truyền gửi văn bản cho cơ sở để yêu cầu sửa đổi, bổ sung hồ sơ theo Mẫu </w:t>
      </w:r>
      <w:r>
        <w:rPr>
          <w:rFonts w:ascii="Times New Roman" w:eastAsia="Times New Roman" w:hAnsi="Times New Roman" w:cs="Times New Roman"/>
          <w:sz w:val="26"/>
        </w:rPr>
        <w:t>số 16 Phụ lục I ban hành kèm theo Nghị định số 163/2025/NĐ-CP;</w:t>
      </w:r>
    </w:p>
    <w:p w:rsidR="00AF32AD" w:rsidRDefault="001458D7">
      <w:pPr>
        <w:spacing w:after="0" w:line="276" w:lineRule="auto"/>
        <w:jc w:val="both"/>
      </w:pPr>
      <w:r>
        <w:rPr>
          <w:rFonts w:ascii="Times New Roman" w:eastAsia="Times New Roman" w:hAnsi="Times New Roman" w:cs="Times New Roman"/>
          <w:sz w:val="26"/>
        </w:rPr>
        <w:t>Bước 4: Sau khi nhận hồ sơ sửa đổi, bổ sung, Cục Quản lý Dược/ Cục Quản lý Y, Dược cổ truyền trả cơ sở Phiếu tiếp nhận hồ sơ sửa đổi, bổ sung theo Mẫu số 01 tại Phụ lục I ban hành kèm theo Nghị định số 163/2025/NĐ-CP. Trường hợp hồ sơ sửa đổi, bổ sung không đáp ứng yêu cầu, trong thời hạn 15 ngày kể từ ngày ghi trên Phiếu tiếp nhận hồ sơ, Cục Quản lý Dược/ Cục Quản lý Y, Dược cổ truyền có văn bản thông báo cho cơ sở về việc không cấp phép nhập khẩu theo Mẫu số 16 tại Phụ lục I ban hành kèm theo Nghị định số</w:t>
      </w:r>
      <w:r>
        <w:rPr>
          <w:rFonts w:ascii="Times New Roman" w:eastAsia="Times New Roman" w:hAnsi="Times New Roman" w:cs="Times New Roman"/>
          <w:sz w:val="26"/>
        </w:rPr>
        <w:t xml:space="preserve"> 163/2025/NĐ-CP. Trường hợp không có yêu cầu sửa đổi, bổ sung đối với hồ sơ sửa đổi, bổ sung, Cục Quản lý Dược/ Cục Quản lý Y, Dược cổ truyền cấp phép nhập khẩu theo quy định tại bước 3. Trong thời hạn 06 tháng kể từ ngày Cục Quản lý Dược/ Cục Quản lý Y, Dược cổ truyền có văn bản thông báo sửa đổi, bổ sung, cơ sở đề nghị cấp phép nhập khẩu phải nộp hồ sơ sửa đổi, bổ sung theo yêu cầu. Sau thời hạn trên, cơ sở không nộp hồ sơ sửa đổi, bổ sung thì hồ sơ đã nộp không còn giá trị.</w:t>
      </w:r>
    </w:p>
    <w:p w:rsidR="00AF32AD" w:rsidRDefault="001458D7">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37"/>
        <w:gridCol w:w="1778"/>
        <w:gridCol w:w="3004"/>
        <w:gridCol w:w="2892"/>
      </w:tblGrid>
      <w:tr w:rsidR="00AF32AD">
        <w:tblPrEx>
          <w:tblCellMar>
            <w:top w:w="0" w:type="dxa"/>
            <w:bottom w:w="0" w:type="dxa"/>
          </w:tblCellMar>
        </w:tblPrEx>
        <w:tc>
          <w:tcPr>
            <w:tcW w:w="1500" w:type="dxa"/>
          </w:tcPr>
          <w:p w:rsidR="00AF32AD" w:rsidRDefault="00AF32AD"/>
          <w:p w:rsidR="00AF32AD" w:rsidRDefault="001458D7">
            <w:pPr>
              <w:spacing w:after="0" w:line="276" w:lineRule="auto"/>
              <w:jc w:val="center"/>
            </w:pPr>
            <w:r>
              <w:rPr>
                <w:rFonts w:ascii="Times New Roman" w:eastAsia="Times New Roman" w:hAnsi="Times New Roman" w:cs="Times New Roman"/>
                <w:b/>
                <w:sz w:val="26"/>
              </w:rPr>
              <w:t>Hình thức nộp</w:t>
            </w:r>
          </w:p>
        </w:tc>
        <w:tc>
          <w:tcPr>
            <w:tcW w:w="2000" w:type="dxa"/>
          </w:tcPr>
          <w:p w:rsidR="00AF32AD" w:rsidRDefault="00AF32AD"/>
          <w:p w:rsidR="00AF32AD" w:rsidRDefault="001458D7">
            <w:pPr>
              <w:spacing w:after="0" w:line="276" w:lineRule="auto"/>
              <w:jc w:val="center"/>
            </w:pPr>
            <w:r>
              <w:rPr>
                <w:rFonts w:ascii="Times New Roman" w:eastAsia="Times New Roman" w:hAnsi="Times New Roman" w:cs="Times New Roman"/>
                <w:b/>
                <w:sz w:val="26"/>
              </w:rPr>
              <w:t>Thời hạn giải quyết</w:t>
            </w:r>
          </w:p>
        </w:tc>
        <w:tc>
          <w:tcPr>
            <w:tcW w:w="3500" w:type="dxa"/>
          </w:tcPr>
          <w:p w:rsidR="00AF32AD" w:rsidRDefault="00AF32AD"/>
          <w:p w:rsidR="00AF32AD" w:rsidRDefault="001458D7">
            <w:pPr>
              <w:spacing w:after="0" w:line="276" w:lineRule="auto"/>
              <w:jc w:val="center"/>
            </w:pPr>
            <w:r>
              <w:rPr>
                <w:rFonts w:ascii="Times New Roman" w:eastAsia="Times New Roman" w:hAnsi="Times New Roman" w:cs="Times New Roman"/>
                <w:b/>
                <w:sz w:val="26"/>
              </w:rPr>
              <w:t>Phí, lệ phí</w:t>
            </w:r>
          </w:p>
        </w:tc>
        <w:tc>
          <w:tcPr>
            <w:tcW w:w="3000" w:type="dxa"/>
          </w:tcPr>
          <w:p w:rsidR="00AF32AD" w:rsidRDefault="00AF32AD"/>
          <w:p w:rsidR="00AF32AD" w:rsidRDefault="001458D7">
            <w:pPr>
              <w:spacing w:after="0" w:line="276" w:lineRule="auto"/>
              <w:jc w:val="center"/>
            </w:pPr>
            <w:r>
              <w:rPr>
                <w:rFonts w:ascii="Times New Roman" w:eastAsia="Times New Roman" w:hAnsi="Times New Roman" w:cs="Times New Roman"/>
                <w:b/>
                <w:sz w:val="26"/>
              </w:rPr>
              <w:t>Mô tả</w:t>
            </w:r>
          </w:p>
        </w:tc>
      </w:tr>
      <w:tr w:rsidR="00AF32AD">
        <w:tblPrEx>
          <w:tblCellMar>
            <w:top w:w="0" w:type="dxa"/>
            <w:bottom w:w="0" w:type="dxa"/>
          </w:tblCellMar>
        </w:tblPrEx>
        <w:tc>
          <w:tcPr>
            <w:tcW w:w="0" w:type="auto"/>
          </w:tcPr>
          <w:p w:rsidR="00AF32AD" w:rsidRDefault="00AF32AD"/>
          <w:p w:rsidR="00AF32AD" w:rsidRDefault="001458D7">
            <w:pPr>
              <w:spacing w:after="0" w:line="276" w:lineRule="auto"/>
            </w:pPr>
            <w:r>
              <w:rPr>
                <w:rFonts w:ascii="Times New Roman" w:eastAsia="Times New Roman" w:hAnsi="Times New Roman" w:cs="Times New Roman"/>
                <w:sz w:val="26"/>
              </w:rPr>
              <w:t>Trực tiếp</w:t>
            </w:r>
          </w:p>
        </w:tc>
        <w:tc>
          <w:tcPr>
            <w:tcW w:w="0" w:type="auto"/>
          </w:tcPr>
          <w:p w:rsidR="00AF32AD" w:rsidRDefault="00AF32AD"/>
          <w:p w:rsidR="00AF32AD" w:rsidRDefault="001458D7">
            <w:pPr>
              <w:spacing w:after="0" w:line="276" w:lineRule="auto"/>
            </w:pPr>
            <w:r>
              <w:rPr>
                <w:rFonts w:ascii="Times New Roman" w:eastAsia="Times New Roman" w:hAnsi="Times New Roman" w:cs="Times New Roman"/>
                <w:sz w:val="26"/>
              </w:rPr>
              <w:t>15 Ngày</w:t>
            </w:r>
          </w:p>
        </w:tc>
        <w:tc>
          <w:tcPr>
            <w:tcW w:w="0" w:type="auto"/>
          </w:tcPr>
          <w:p w:rsidR="00AF32AD" w:rsidRDefault="00AF32AD"/>
          <w:p w:rsidR="00AF32AD" w:rsidRDefault="00AF32AD">
            <w:pPr>
              <w:spacing w:after="0" w:line="276" w:lineRule="auto"/>
            </w:pPr>
          </w:p>
        </w:tc>
        <w:tc>
          <w:tcPr>
            <w:tcW w:w="0" w:type="auto"/>
          </w:tcPr>
          <w:p w:rsidR="00AF32AD" w:rsidRDefault="00AF32AD"/>
          <w:p w:rsidR="00AF32AD" w:rsidRDefault="001458D7">
            <w:pPr>
              <w:spacing w:after="0" w:line="276" w:lineRule="auto"/>
            </w:pPr>
            <w:r>
              <w:rPr>
                <w:rFonts w:ascii="Times New Roman" w:eastAsia="Times New Roman" w:hAnsi="Times New Roman" w:cs="Times New Roman"/>
                <w:sz w:val="26"/>
              </w:rPr>
              <w:t>kể từ ngày nhận đủ hồ sơ hợp lệ</w:t>
            </w:r>
          </w:p>
        </w:tc>
      </w:tr>
      <w:tr w:rsidR="00AF32AD">
        <w:tblPrEx>
          <w:tblCellMar>
            <w:top w:w="0" w:type="dxa"/>
            <w:bottom w:w="0" w:type="dxa"/>
          </w:tblCellMar>
        </w:tblPrEx>
        <w:tc>
          <w:tcPr>
            <w:tcW w:w="0" w:type="auto"/>
          </w:tcPr>
          <w:p w:rsidR="00AF32AD" w:rsidRDefault="00AF32AD"/>
          <w:p w:rsidR="00AF32AD" w:rsidRDefault="001458D7">
            <w:pPr>
              <w:spacing w:after="0" w:line="276" w:lineRule="auto"/>
            </w:pPr>
            <w:r>
              <w:rPr>
                <w:rFonts w:ascii="Times New Roman" w:eastAsia="Times New Roman" w:hAnsi="Times New Roman" w:cs="Times New Roman"/>
                <w:sz w:val="26"/>
              </w:rPr>
              <w:t>Trực tuyến</w:t>
            </w:r>
          </w:p>
        </w:tc>
        <w:tc>
          <w:tcPr>
            <w:tcW w:w="0" w:type="auto"/>
          </w:tcPr>
          <w:p w:rsidR="00AF32AD" w:rsidRDefault="00AF32AD"/>
          <w:p w:rsidR="00AF32AD" w:rsidRDefault="001458D7">
            <w:pPr>
              <w:spacing w:after="0" w:line="276" w:lineRule="auto"/>
            </w:pPr>
            <w:r>
              <w:rPr>
                <w:rFonts w:ascii="Times New Roman" w:eastAsia="Times New Roman" w:hAnsi="Times New Roman" w:cs="Times New Roman"/>
                <w:sz w:val="26"/>
              </w:rPr>
              <w:t>15 Ngày</w:t>
            </w:r>
          </w:p>
        </w:tc>
        <w:tc>
          <w:tcPr>
            <w:tcW w:w="0" w:type="auto"/>
          </w:tcPr>
          <w:p w:rsidR="00AF32AD" w:rsidRDefault="00AF32AD"/>
          <w:p w:rsidR="00AF32AD" w:rsidRDefault="00AF32AD">
            <w:pPr>
              <w:spacing w:after="0" w:line="276" w:lineRule="auto"/>
            </w:pPr>
          </w:p>
        </w:tc>
        <w:tc>
          <w:tcPr>
            <w:tcW w:w="0" w:type="auto"/>
          </w:tcPr>
          <w:p w:rsidR="00AF32AD" w:rsidRDefault="00AF32AD"/>
          <w:p w:rsidR="00AF32AD" w:rsidRDefault="001458D7">
            <w:pPr>
              <w:spacing w:after="0" w:line="276" w:lineRule="auto"/>
            </w:pPr>
            <w:r>
              <w:rPr>
                <w:rFonts w:ascii="Times New Roman" w:eastAsia="Times New Roman" w:hAnsi="Times New Roman" w:cs="Times New Roman"/>
                <w:sz w:val="26"/>
              </w:rPr>
              <w:t>kể từ ngày nhận đủ hồ sơ hợp lệ</w:t>
            </w:r>
          </w:p>
        </w:tc>
      </w:tr>
      <w:tr w:rsidR="00AF32AD">
        <w:tblPrEx>
          <w:tblCellMar>
            <w:top w:w="0" w:type="dxa"/>
            <w:bottom w:w="0" w:type="dxa"/>
          </w:tblCellMar>
        </w:tblPrEx>
        <w:tc>
          <w:tcPr>
            <w:tcW w:w="0" w:type="auto"/>
          </w:tcPr>
          <w:p w:rsidR="00AF32AD" w:rsidRDefault="00AF32AD"/>
          <w:p w:rsidR="00AF32AD" w:rsidRDefault="001458D7">
            <w:pPr>
              <w:spacing w:after="0" w:line="276" w:lineRule="auto"/>
            </w:pPr>
            <w:r>
              <w:rPr>
                <w:rFonts w:ascii="Times New Roman" w:eastAsia="Times New Roman" w:hAnsi="Times New Roman" w:cs="Times New Roman"/>
                <w:sz w:val="26"/>
              </w:rPr>
              <w:t>Dịch vụ bưu chính</w:t>
            </w:r>
          </w:p>
        </w:tc>
        <w:tc>
          <w:tcPr>
            <w:tcW w:w="0" w:type="auto"/>
          </w:tcPr>
          <w:p w:rsidR="00AF32AD" w:rsidRDefault="00AF32AD"/>
          <w:p w:rsidR="00AF32AD" w:rsidRDefault="001458D7">
            <w:pPr>
              <w:spacing w:after="0" w:line="276" w:lineRule="auto"/>
            </w:pPr>
            <w:r>
              <w:rPr>
                <w:rFonts w:ascii="Times New Roman" w:eastAsia="Times New Roman" w:hAnsi="Times New Roman" w:cs="Times New Roman"/>
                <w:sz w:val="26"/>
              </w:rPr>
              <w:t>15 Ngày</w:t>
            </w:r>
          </w:p>
        </w:tc>
        <w:tc>
          <w:tcPr>
            <w:tcW w:w="0" w:type="auto"/>
          </w:tcPr>
          <w:p w:rsidR="00AF32AD" w:rsidRDefault="00AF32AD"/>
          <w:p w:rsidR="00AF32AD" w:rsidRDefault="00AF32AD">
            <w:pPr>
              <w:spacing w:after="0" w:line="276" w:lineRule="auto"/>
            </w:pPr>
          </w:p>
        </w:tc>
        <w:tc>
          <w:tcPr>
            <w:tcW w:w="0" w:type="auto"/>
          </w:tcPr>
          <w:p w:rsidR="00AF32AD" w:rsidRDefault="00AF32AD"/>
          <w:p w:rsidR="00AF32AD" w:rsidRDefault="001458D7">
            <w:pPr>
              <w:spacing w:after="0" w:line="276" w:lineRule="auto"/>
            </w:pPr>
            <w:r>
              <w:rPr>
                <w:rFonts w:ascii="Times New Roman" w:eastAsia="Times New Roman" w:hAnsi="Times New Roman" w:cs="Times New Roman"/>
                <w:sz w:val="26"/>
              </w:rPr>
              <w:t>kể từ ngày nhận đủ hồ sơ hợp lệ</w:t>
            </w:r>
          </w:p>
        </w:tc>
      </w:tr>
    </w:tbl>
    <w:p w:rsidR="00AF32AD" w:rsidRDefault="001458D7">
      <w:pPr>
        <w:spacing w:before="240" w:after="0" w:line="276" w:lineRule="auto"/>
        <w:jc w:val="both"/>
      </w:pPr>
      <w:r>
        <w:rPr>
          <w:rFonts w:ascii="Times New Roman" w:eastAsia="Times New Roman" w:hAnsi="Times New Roman" w:cs="Times New Roman"/>
          <w:b/>
          <w:sz w:val="26"/>
        </w:rPr>
        <w:t xml:space="preserve">Thành phần hồ sơ: </w:t>
      </w:r>
    </w:p>
    <w:p w:rsidR="00AF32AD" w:rsidRDefault="001458D7">
      <w:pPr>
        <w:shd w:val="clear" w:color="auto" w:fill="F2F6F9"/>
        <w:spacing w:before="120" w:after="0" w:line="276" w:lineRule="auto"/>
        <w:jc w:val="both"/>
      </w:pPr>
      <w:r>
        <w:rPr>
          <w:rFonts w:ascii="Times New Roman" w:eastAsia="Times New Roman" w:hAnsi="Times New Roman" w:cs="Times New Roman"/>
          <w:b/>
          <w:sz w:val="26"/>
        </w:rPr>
        <w:t xml:space="preserve">a) Đơn hàng nhập khẩu: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83"/>
        <w:gridCol w:w="1378"/>
        <w:gridCol w:w="950"/>
      </w:tblGrid>
      <w:tr w:rsidR="00AF32AD">
        <w:tblPrEx>
          <w:tblCellMar>
            <w:top w:w="0" w:type="dxa"/>
            <w:bottom w:w="0" w:type="dxa"/>
          </w:tblCellMar>
        </w:tblPrEx>
        <w:tc>
          <w:tcPr>
            <w:tcW w:w="6000" w:type="dxa"/>
          </w:tcPr>
          <w:p w:rsidR="00AF32AD" w:rsidRDefault="00AF32AD"/>
          <w:p w:rsidR="00AF32AD" w:rsidRDefault="001458D7">
            <w:pPr>
              <w:spacing w:after="0" w:line="276" w:lineRule="auto"/>
              <w:jc w:val="center"/>
            </w:pPr>
            <w:r>
              <w:rPr>
                <w:rFonts w:ascii="Times New Roman" w:eastAsia="Times New Roman" w:hAnsi="Times New Roman" w:cs="Times New Roman"/>
                <w:b/>
                <w:sz w:val="26"/>
              </w:rPr>
              <w:t>Tên giấy tờ</w:t>
            </w:r>
          </w:p>
        </w:tc>
        <w:tc>
          <w:tcPr>
            <w:tcW w:w="2000" w:type="dxa"/>
          </w:tcPr>
          <w:p w:rsidR="00AF32AD" w:rsidRDefault="00AF32AD"/>
          <w:p w:rsidR="00AF32AD" w:rsidRDefault="001458D7">
            <w:pPr>
              <w:spacing w:after="0" w:line="276" w:lineRule="auto"/>
              <w:jc w:val="center"/>
            </w:pPr>
            <w:r>
              <w:rPr>
                <w:rFonts w:ascii="Times New Roman" w:eastAsia="Times New Roman" w:hAnsi="Times New Roman" w:cs="Times New Roman"/>
                <w:b/>
                <w:sz w:val="26"/>
              </w:rPr>
              <w:t>Mẫu đơn, tờ khai</w:t>
            </w:r>
          </w:p>
        </w:tc>
        <w:tc>
          <w:tcPr>
            <w:tcW w:w="2000" w:type="dxa"/>
          </w:tcPr>
          <w:p w:rsidR="00AF32AD" w:rsidRDefault="00AF32AD"/>
          <w:p w:rsidR="00AF32AD" w:rsidRDefault="001458D7">
            <w:pPr>
              <w:spacing w:after="0" w:line="276" w:lineRule="auto"/>
              <w:jc w:val="center"/>
            </w:pPr>
            <w:r>
              <w:rPr>
                <w:rFonts w:ascii="Times New Roman" w:eastAsia="Times New Roman" w:hAnsi="Times New Roman" w:cs="Times New Roman"/>
                <w:b/>
                <w:sz w:val="26"/>
              </w:rPr>
              <w:t>Số lượng</w:t>
            </w:r>
          </w:p>
        </w:tc>
      </w:tr>
      <w:tr w:rsidR="00AF32AD">
        <w:tblPrEx>
          <w:tblCellMar>
            <w:top w:w="0" w:type="dxa"/>
            <w:bottom w:w="0" w:type="dxa"/>
          </w:tblCellMar>
        </w:tblPrEx>
        <w:tc>
          <w:tcPr>
            <w:tcW w:w="0" w:type="auto"/>
          </w:tcPr>
          <w:p w:rsidR="00AF32AD" w:rsidRDefault="00AF32AD"/>
          <w:p w:rsidR="00AF32AD" w:rsidRDefault="001458D7">
            <w:pPr>
              <w:spacing w:after="0" w:line="276" w:lineRule="auto"/>
            </w:pPr>
            <w:r>
              <w:rPr>
                <w:rFonts w:ascii="Times New Roman" w:eastAsia="Times New Roman" w:hAnsi="Times New Roman" w:cs="Times New Roman"/>
                <w:sz w:val="26"/>
              </w:rPr>
              <w:t>- Mẫu số 15 tại Phụ lục III của Nghị định số 163/2025/NĐ-CP đối với vắc xin, sinh phẩm, thuốc hóa dược;</w:t>
            </w:r>
          </w:p>
        </w:tc>
        <w:tc>
          <w:tcPr>
            <w:tcW w:w="0" w:type="auto"/>
          </w:tcPr>
          <w:p w:rsidR="00AF32AD" w:rsidRDefault="00AF32AD"/>
          <w:p w:rsidR="00AF32AD" w:rsidRDefault="001458D7">
            <w:pPr>
              <w:spacing w:after="0" w:line="276" w:lineRule="auto"/>
            </w:pPr>
            <w:r>
              <w:rPr>
                <w:rFonts w:ascii="Times New Roman" w:eastAsia="Times New Roman" w:hAnsi="Times New Roman" w:cs="Times New Roman"/>
                <w:sz w:val="26"/>
              </w:rPr>
              <w:t>Mu10.docx</w:t>
            </w:r>
          </w:p>
        </w:tc>
        <w:tc>
          <w:tcPr>
            <w:tcW w:w="0" w:type="auto"/>
          </w:tcPr>
          <w:p w:rsidR="00AF32AD" w:rsidRDefault="00AF32AD"/>
          <w:p w:rsidR="00AF32AD" w:rsidRDefault="001458D7">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0</w:t>
            </w:r>
          </w:p>
        </w:tc>
      </w:tr>
      <w:tr w:rsidR="00AF32AD">
        <w:tblPrEx>
          <w:tblCellMar>
            <w:top w:w="0" w:type="dxa"/>
            <w:bottom w:w="0" w:type="dxa"/>
          </w:tblCellMar>
        </w:tblPrEx>
        <w:tc>
          <w:tcPr>
            <w:tcW w:w="0" w:type="auto"/>
          </w:tcPr>
          <w:p w:rsidR="00AF32AD" w:rsidRDefault="00AF32AD"/>
          <w:p w:rsidR="00AF32AD" w:rsidRDefault="001458D7">
            <w:pPr>
              <w:spacing w:after="0" w:line="276" w:lineRule="auto"/>
            </w:pPr>
            <w:r>
              <w:rPr>
                <w:rFonts w:ascii="Times New Roman" w:eastAsia="Times New Roman" w:hAnsi="Times New Roman" w:cs="Times New Roman"/>
                <w:sz w:val="26"/>
              </w:rPr>
              <w:t>- Mẫu số 16 tại Phụ lục III của Nghị định số 163/2025/NĐ-CP đối với thuốc gây nghiện, thuốc hướng thần, thuốc tiền chất, thuốc dạng phối hợp có chứa dược chất gây nghiện, thuốc dạng phối hợp có chứa dược chất hướng thần, thuốc dạng phối hợp có chứa tiền chất;</w:t>
            </w:r>
          </w:p>
        </w:tc>
        <w:tc>
          <w:tcPr>
            <w:tcW w:w="0" w:type="auto"/>
          </w:tcPr>
          <w:p w:rsidR="00AF32AD" w:rsidRDefault="00AF32AD"/>
        </w:tc>
        <w:tc>
          <w:tcPr>
            <w:tcW w:w="0" w:type="auto"/>
          </w:tcPr>
          <w:p w:rsidR="00AF32AD" w:rsidRDefault="00AF32AD"/>
          <w:p w:rsidR="00AF32AD" w:rsidRDefault="001458D7">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0</w:t>
            </w:r>
          </w:p>
        </w:tc>
      </w:tr>
      <w:tr w:rsidR="00AF32AD">
        <w:tblPrEx>
          <w:tblCellMar>
            <w:top w:w="0" w:type="dxa"/>
            <w:bottom w:w="0" w:type="dxa"/>
          </w:tblCellMar>
        </w:tblPrEx>
        <w:tc>
          <w:tcPr>
            <w:tcW w:w="0" w:type="auto"/>
          </w:tcPr>
          <w:p w:rsidR="00AF32AD" w:rsidRDefault="00AF32AD"/>
          <w:p w:rsidR="00AF32AD" w:rsidRDefault="001458D7">
            <w:pPr>
              <w:spacing w:after="0" w:line="276" w:lineRule="auto"/>
            </w:pPr>
            <w:r>
              <w:rPr>
                <w:rFonts w:ascii="Times New Roman" w:eastAsia="Times New Roman" w:hAnsi="Times New Roman" w:cs="Times New Roman"/>
                <w:sz w:val="26"/>
              </w:rPr>
              <w:t>- Mẫu số 17 tại Phụ lục III của Nghị định số 163/2025/NĐ-CP đối với thuốc dược liệu, thuốc cổ truyền</w:t>
            </w:r>
          </w:p>
        </w:tc>
        <w:tc>
          <w:tcPr>
            <w:tcW w:w="0" w:type="auto"/>
          </w:tcPr>
          <w:p w:rsidR="00AF32AD" w:rsidRDefault="00AF32AD"/>
        </w:tc>
        <w:tc>
          <w:tcPr>
            <w:tcW w:w="0" w:type="auto"/>
          </w:tcPr>
          <w:p w:rsidR="00AF32AD" w:rsidRDefault="00AF32AD"/>
          <w:p w:rsidR="00AF32AD" w:rsidRDefault="001458D7">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0</w:t>
            </w:r>
          </w:p>
        </w:tc>
      </w:tr>
    </w:tbl>
    <w:p w:rsidR="00AF32AD" w:rsidRDefault="001458D7">
      <w:pPr>
        <w:shd w:val="clear" w:color="auto" w:fill="F2F6F9"/>
        <w:spacing w:before="120" w:after="0" w:line="276" w:lineRule="auto"/>
        <w:jc w:val="both"/>
      </w:pPr>
      <w:r>
        <w:rPr>
          <w:rFonts w:ascii="Times New Roman" w:eastAsia="Times New Roman" w:hAnsi="Times New Roman" w:cs="Times New Roman"/>
          <w:b/>
          <w:sz w:val="26"/>
        </w:rPr>
        <w:lastRenderedPageBreak/>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89"/>
        <w:gridCol w:w="972"/>
        <w:gridCol w:w="1064"/>
      </w:tblGrid>
      <w:tr w:rsidR="00AF32AD">
        <w:tblPrEx>
          <w:tblCellMar>
            <w:top w:w="0" w:type="dxa"/>
            <w:bottom w:w="0" w:type="dxa"/>
          </w:tblCellMar>
        </w:tblPrEx>
        <w:tc>
          <w:tcPr>
            <w:tcW w:w="6000" w:type="dxa"/>
          </w:tcPr>
          <w:p w:rsidR="00AF32AD" w:rsidRDefault="00AF32AD"/>
          <w:p w:rsidR="00AF32AD" w:rsidRDefault="001458D7">
            <w:pPr>
              <w:spacing w:after="0" w:line="276" w:lineRule="auto"/>
              <w:jc w:val="center"/>
            </w:pPr>
            <w:r>
              <w:rPr>
                <w:rFonts w:ascii="Times New Roman" w:eastAsia="Times New Roman" w:hAnsi="Times New Roman" w:cs="Times New Roman"/>
                <w:b/>
                <w:sz w:val="26"/>
              </w:rPr>
              <w:t>Tên giấy tờ</w:t>
            </w:r>
          </w:p>
        </w:tc>
        <w:tc>
          <w:tcPr>
            <w:tcW w:w="2000" w:type="dxa"/>
          </w:tcPr>
          <w:p w:rsidR="00AF32AD" w:rsidRDefault="00AF32AD"/>
          <w:p w:rsidR="00AF32AD" w:rsidRDefault="001458D7">
            <w:pPr>
              <w:spacing w:after="0" w:line="276" w:lineRule="auto"/>
              <w:jc w:val="center"/>
            </w:pPr>
            <w:r>
              <w:rPr>
                <w:rFonts w:ascii="Times New Roman" w:eastAsia="Times New Roman" w:hAnsi="Times New Roman" w:cs="Times New Roman"/>
                <w:b/>
                <w:sz w:val="26"/>
              </w:rPr>
              <w:t>Mẫu đơn, tờ khai</w:t>
            </w:r>
          </w:p>
        </w:tc>
        <w:tc>
          <w:tcPr>
            <w:tcW w:w="2000" w:type="dxa"/>
          </w:tcPr>
          <w:p w:rsidR="00AF32AD" w:rsidRDefault="00AF32AD"/>
          <w:p w:rsidR="00AF32AD" w:rsidRDefault="001458D7">
            <w:pPr>
              <w:spacing w:after="0" w:line="276" w:lineRule="auto"/>
              <w:jc w:val="center"/>
            </w:pPr>
            <w:r>
              <w:rPr>
                <w:rFonts w:ascii="Times New Roman" w:eastAsia="Times New Roman" w:hAnsi="Times New Roman" w:cs="Times New Roman"/>
                <w:b/>
                <w:sz w:val="26"/>
              </w:rPr>
              <w:t>Số lượng</w:t>
            </w:r>
          </w:p>
        </w:tc>
      </w:tr>
      <w:tr w:rsidR="00AF32AD">
        <w:tblPrEx>
          <w:tblCellMar>
            <w:top w:w="0" w:type="dxa"/>
            <w:bottom w:w="0" w:type="dxa"/>
          </w:tblCellMar>
        </w:tblPrEx>
        <w:tc>
          <w:tcPr>
            <w:tcW w:w="0" w:type="auto"/>
          </w:tcPr>
          <w:p w:rsidR="00AF32AD" w:rsidRDefault="00AF32AD"/>
          <w:p w:rsidR="00AF32AD" w:rsidRDefault="001458D7">
            <w:pPr>
              <w:spacing w:after="0" w:line="276" w:lineRule="auto"/>
            </w:pPr>
            <w:r>
              <w:rPr>
                <w:rFonts w:ascii="Times New Roman" w:eastAsia="Times New Roman" w:hAnsi="Times New Roman" w:cs="Times New Roman"/>
                <w:sz w:val="26"/>
              </w:rPr>
              <w:t>b) Văn bản phê duyệt của cơ quan hoặc tổ chức có thẩm quyền tương ứng đối với trường hợp thuốc thuộc điểm a, b và đ khoản 1 Điều 58 Nghị định số 163/2025/NĐ-CP</w:t>
            </w:r>
          </w:p>
        </w:tc>
        <w:tc>
          <w:tcPr>
            <w:tcW w:w="0" w:type="auto"/>
          </w:tcPr>
          <w:p w:rsidR="00AF32AD" w:rsidRDefault="00AF32AD"/>
        </w:tc>
        <w:tc>
          <w:tcPr>
            <w:tcW w:w="0" w:type="auto"/>
          </w:tcPr>
          <w:p w:rsidR="00AF32AD" w:rsidRDefault="00AF32AD"/>
          <w:p w:rsidR="00AF32AD" w:rsidRDefault="001458D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F32AD">
        <w:tblPrEx>
          <w:tblCellMar>
            <w:top w:w="0" w:type="dxa"/>
            <w:bottom w:w="0" w:type="dxa"/>
          </w:tblCellMar>
        </w:tblPrEx>
        <w:tc>
          <w:tcPr>
            <w:tcW w:w="0" w:type="auto"/>
          </w:tcPr>
          <w:p w:rsidR="00AF32AD" w:rsidRDefault="00AF32AD"/>
          <w:p w:rsidR="00AF32AD" w:rsidRDefault="001458D7">
            <w:pPr>
              <w:spacing w:after="0" w:line="276" w:lineRule="auto"/>
            </w:pPr>
            <w:r>
              <w:rPr>
                <w:rFonts w:ascii="Times New Roman" w:eastAsia="Times New Roman" w:hAnsi="Times New Roman" w:cs="Times New Roman"/>
                <w:sz w:val="26"/>
              </w:rPr>
              <w:t>c) Văn bản phê duyệt đề cương thử tương đương sinh học theo quy định tại Điều 100 của Luật Dược đối với trường hợp thuốc mới thuộc quy định tại điểm c khoản 1 Điều 58 Nghị định số 163/2025/NĐ-C</w:t>
            </w:r>
          </w:p>
        </w:tc>
        <w:tc>
          <w:tcPr>
            <w:tcW w:w="0" w:type="auto"/>
          </w:tcPr>
          <w:p w:rsidR="00AF32AD" w:rsidRDefault="00AF32AD"/>
        </w:tc>
        <w:tc>
          <w:tcPr>
            <w:tcW w:w="0" w:type="auto"/>
          </w:tcPr>
          <w:p w:rsidR="00AF32AD" w:rsidRDefault="00AF32AD"/>
          <w:p w:rsidR="00AF32AD" w:rsidRDefault="001458D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F32AD">
        <w:tblPrEx>
          <w:tblCellMar>
            <w:top w:w="0" w:type="dxa"/>
            <w:bottom w:w="0" w:type="dxa"/>
          </w:tblCellMar>
        </w:tblPrEx>
        <w:tc>
          <w:tcPr>
            <w:tcW w:w="0" w:type="auto"/>
          </w:tcPr>
          <w:p w:rsidR="00AF32AD" w:rsidRDefault="00AF32AD"/>
          <w:p w:rsidR="00AF32AD" w:rsidRDefault="001458D7">
            <w:pPr>
              <w:spacing w:after="0" w:line="276" w:lineRule="auto"/>
            </w:pPr>
            <w:r>
              <w:rPr>
                <w:rFonts w:ascii="Times New Roman" w:eastAsia="Times New Roman" w:hAnsi="Times New Roman" w:cs="Times New Roman"/>
                <w:sz w:val="26"/>
              </w:rPr>
              <w:t>d) Tài liệu thuyết minh có đóng dấu của cơ sở nhập khẩu về mục đích, số lượng nhập khẩu và cam kết sử dụng đúng mục đích</w:t>
            </w:r>
          </w:p>
        </w:tc>
        <w:tc>
          <w:tcPr>
            <w:tcW w:w="0" w:type="auto"/>
          </w:tcPr>
          <w:p w:rsidR="00AF32AD" w:rsidRDefault="00AF32AD"/>
        </w:tc>
        <w:tc>
          <w:tcPr>
            <w:tcW w:w="0" w:type="auto"/>
          </w:tcPr>
          <w:p w:rsidR="00AF32AD" w:rsidRDefault="00AF32AD"/>
          <w:p w:rsidR="00AF32AD" w:rsidRDefault="001458D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AF32AD" w:rsidRDefault="001458D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AF32AD" w:rsidRDefault="001458D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Y tế</w:t>
      </w:r>
    </w:p>
    <w:p w:rsidR="00AF32AD" w:rsidRDefault="001458D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AF32AD" w:rsidRDefault="001458D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AF32AD" w:rsidRDefault="001458D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AF32AD" w:rsidRDefault="001458D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AF32AD" w:rsidRDefault="001458D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nhập khẩu, Văn bản yêu cầu sửa đổi, bổ sung hồ sơ, Văn bản thông báo về việc không cấp phép nhập khẩu</w:t>
      </w:r>
    </w:p>
    <w:p w:rsidR="00AF32AD" w:rsidRDefault="001458D7">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37"/>
        <w:gridCol w:w="4954"/>
        <w:gridCol w:w="993"/>
        <w:gridCol w:w="1641"/>
      </w:tblGrid>
      <w:tr w:rsidR="00AF32AD">
        <w:tblPrEx>
          <w:tblCellMar>
            <w:top w:w="0" w:type="dxa"/>
            <w:bottom w:w="0" w:type="dxa"/>
          </w:tblCellMar>
        </w:tblPrEx>
        <w:tc>
          <w:tcPr>
            <w:tcW w:w="2000" w:type="dxa"/>
          </w:tcPr>
          <w:p w:rsidR="00AF32AD" w:rsidRDefault="00AF32AD"/>
          <w:p w:rsidR="00AF32AD" w:rsidRDefault="001458D7">
            <w:pPr>
              <w:spacing w:after="0" w:line="276" w:lineRule="auto"/>
              <w:jc w:val="center"/>
            </w:pPr>
            <w:r>
              <w:rPr>
                <w:rFonts w:ascii="Times New Roman" w:eastAsia="Times New Roman" w:hAnsi="Times New Roman" w:cs="Times New Roman"/>
                <w:b/>
                <w:sz w:val="26"/>
              </w:rPr>
              <w:t>Số ký hiệu</w:t>
            </w:r>
          </w:p>
        </w:tc>
        <w:tc>
          <w:tcPr>
            <w:tcW w:w="3500" w:type="dxa"/>
          </w:tcPr>
          <w:p w:rsidR="00AF32AD" w:rsidRDefault="00AF32AD"/>
          <w:p w:rsidR="00AF32AD" w:rsidRDefault="001458D7">
            <w:pPr>
              <w:spacing w:after="0" w:line="276" w:lineRule="auto"/>
              <w:jc w:val="center"/>
            </w:pPr>
            <w:r>
              <w:rPr>
                <w:rFonts w:ascii="Times New Roman" w:eastAsia="Times New Roman" w:hAnsi="Times New Roman" w:cs="Times New Roman"/>
                <w:b/>
                <w:sz w:val="26"/>
              </w:rPr>
              <w:t>Trích yếu</w:t>
            </w:r>
          </w:p>
        </w:tc>
        <w:tc>
          <w:tcPr>
            <w:tcW w:w="1500" w:type="dxa"/>
          </w:tcPr>
          <w:p w:rsidR="00AF32AD" w:rsidRDefault="00AF32AD"/>
          <w:p w:rsidR="00AF32AD" w:rsidRDefault="001458D7">
            <w:pPr>
              <w:spacing w:after="0" w:line="276" w:lineRule="auto"/>
              <w:jc w:val="center"/>
            </w:pPr>
            <w:r>
              <w:rPr>
                <w:rFonts w:ascii="Times New Roman" w:eastAsia="Times New Roman" w:hAnsi="Times New Roman" w:cs="Times New Roman"/>
                <w:b/>
                <w:sz w:val="26"/>
              </w:rPr>
              <w:t>Ngày ban hành</w:t>
            </w:r>
          </w:p>
        </w:tc>
        <w:tc>
          <w:tcPr>
            <w:tcW w:w="3000" w:type="dxa"/>
          </w:tcPr>
          <w:p w:rsidR="00AF32AD" w:rsidRDefault="00AF32AD"/>
          <w:p w:rsidR="00AF32AD" w:rsidRDefault="001458D7">
            <w:pPr>
              <w:spacing w:after="0" w:line="276" w:lineRule="auto"/>
              <w:jc w:val="center"/>
            </w:pPr>
            <w:r>
              <w:rPr>
                <w:rFonts w:ascii="Times New Roman" w:eastAsia="Times New Roman" w:hAnsi="Times New Roman" w:cs="Times New Roman"/>
                <w:b/>
                <w:sz w:val="26"/>
              </w:rPr>
              <w:t>Cơ quan ban hành</w:t>
            </w:r>
          </w:p>
        </w:tc>
      </w:tr>
      <w:tr w:rsidR="00AF32AD">
        <w:tblPrEx>
          <w:tblCellMar>
            <w:top w:w="0" w:type="dxa"/>
            <w:bottom w:w="0" w:type="dxa"/>
          </w:tblCellMar>
        </w:tblPrEx>
        <w:tc>
          <w:tcPr>
            <w:tcW w:w="0" w:type="auto"/>
          </w:tcPr>
          <w:p w:rsidR="00AF32AD" w:rsidRDefault="00AF32AD"/>
          <w:p w:rsidR="00AF32AD" w:rsidRDefault="001458D7">
            <w:pPr>
              <w:spacing w:after="0" w:line="276" w:lineRule="auto"/>
            </w:pPr>
            <w:r>
              <w:rPr>
                <w:rFonts w:ascii="Times New Roman" w:eastAsia="Times New Roman" w:hAnsi="Times New Roman" w:cs="Times New Roman"/>
                <w:sz w:val="26"/>
              </w:rPr>
              <w:t>105/2016/QH13</w:t>
            </w:r>
          </w:p>
        </w:tc>
        <w:tc>
          <w:tcPr>
            <w:tcW w:w="0" w:type="auto"/>
          </w:tcPr>
          <w:p w:rsidR="00AF32AD" w:rsidRDefault="00AF32AD"/>
          <w:p w:rsidR="00AF32AD" w:rsidRDefault="001458D7">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rsidR="00AF32AD" w:rsidRDefault="00AF32AD"/>
          <w:p w:rsidR="00AF32AD" w:rsidRDefault="001458D7">
            <w:pPr>
              <w:spacing w:after="0" w:line="276" w:lineRule="auto"/>
            </w:pPr>
            <w:r>
              <w:rPr>
                <w:rFonts w:ascii="Times New Roman" w:eastAsia="Times New Roman" w:hAnsi="Times New Roman" w:cs="Times New Roman"/>
                <w:sz w:val="26"/>
              </w:rPr>
              <w:t>06-04-2016</w:t>
            </w:r>
          </w:p>
        </w:tc>
        <w:tc>
          <w:tcPr>
            <w:tcW w:w="0" w:type="auto"/>
          </w:tcPr>
          <w:p w:rsidR="00AF32AD" w:rsidRDefault="00AF32AD"/>
        </w:tc>
      </w:tr>
      <w:tr w:rsidR="00AF32AD">
        <w:tblPrEx>
          <w:tblCellMar>
            <w:top w:w="0" w:type="dxa"/>
            <w:bottom w:w="0" w:type="dxa"/>
          </w:tblCellMar>
        </w:tblPrEx>
        <w:tc>
          <w:tcPr>
            <w:tcW w:w="0" w:type="auto"/>
          </w:tcPr>
          <w:p w:rsidR="00AF32AD" w:rsidRDefault="00AF32AD"/>
          <w:p w:rsidR="00AF32AD" w:rsidRDefault="001458D7">
            <w:pPr>
              <w:spacing w:after="0" w:line="276" w:lineRule="auto"/>
            </w:pPr>
            <w:r>
              <w:rPr>
                <w:rFonts w:ascii="Times New Roman" w:eastAsia="Times New Roman" w:hAnsi="Times New Roman" w:cs="Times New Roman"/>
                <w:sz w:val="26"/>
              </w:rPr>
              <w:t>44/2024/QH15</w:t>
            </w:r>
          </w:p>
        </w:tc>
        <w:tc>
          <w:tcPr>
            <w:tcW w:w="0" w:type="auto"/>
          </w:tcPr>
          <w:p w:rsidR="00AF32AD" w:rsidRDefault="00AF32AD"/>
          <w:p w:rsidR="00AF32AD" w:rsidRDefault="001458D7">
            <w:pPr>
              <w:spacing w:after="0" w:line="276" w:lineRule="auto"/>
            </w:pPr>
            <w:r>
              <w:rPr>
                <w:rFonts w:ascii="Times New Roman" w:eastAsia="Times New Roman" w:hAnsi="Times New Roman" w:cs="Times New Roman"/>
                <w:sz w:val="26"/>
              </w:rPr>
              <w:t>Luật sửa đổi, bổ sung một số điều của Luật dược ngày 21 tháng 11 năm 2024</w:t>
            </w:r>
          </w:p>
        </w:tc>
        <w:tc>
          <w:tcPr>
            <w:tcW w:w="0" w:type="auto"/>
          </w:tcPr>
          <w:p w:rsidR="00AF32AD" w:rsidRDefault="00AF32AD"/>
          <w:p w:rsidR="00AF32AD" w:rsidRDefault="001458D7">
            <w:pPr>
              <w:spacing w:after="0" w:line="276" w:lineRule="auto"/>
            </w:pPr>
            <w:r>
              <w:rPr>
                <w:rFonts w:ascii="Times New Roman" w:eastAsia="Times New Roman" w:hAnsi="Times New Roman" w:cs="Times New Roman"/>
                <w:sz w:val="26"/>
              </w:rPr>
              <w:t>21-11-2024</w:t>
            </w:r>
          </w:p>
        </w:tc>
        <w:tc>
          <w:tcPr>
            <w:tcW w:w="0" w:type="auto"/>
          </w:tcPr>
          <w:p w:rsidR="00AF32AD" w:rsidRDefault="00AF32AD"/>
        </w:tc>
      </w:tr>
      <w:tr w:rsidR="00AF32AD">
        <w:tblPrEx>
          <w:tblCellMar>
            <w:top w:w="0" w:type="dxa"/>
            <w:bottom w:w="0" w:type="dxa"/>
          </w:tblCellMar>
        </w:tblPrEx>
        <w:tc>
          <w:tcPr>
            <w:tcW w:w="0" w:type="auto"/>
          </w:tcPr>
          <w:p w:rsidR="00AF32AD" w:rsidRDefault="00AF32AD"/>
          <w:p w:rsidR="00AF32AD" w:rsidRDefault="001458D7">
            <w:pPr>
              <w:spacing w:after="0" w:line="276" w:lineRule="auto"/>
            </w:pPr>
            <w:r>
              <w:rPr>
                <w:rFonts w:ascii="Times New Roman" w:eastAsia="Times New Roman" w:hAnsi="Times New Roman" w:cs="Times New Roman"/>
                <w:sz w:val="26"/>
              </w:rPr>
              <w:t>163/2025/NĐ-CP</w:t>
            </w:r>
          </w:p>
        </w:tc>
        <w:tc>
          <w:tcPr>
            <w:tcW w:w="0" w:type="auto"/>
          </w:tcPr>
          <w:p w:rsidR="00AF32AD" w:rsidRDefault="00AF32AD"/>
          <w:p w:rsidR="00AF32AD" w:rsidRDefault="001458D7">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rsidR="00AF32AD" w:rsidRDefault="00AF32AD"/>
          <w:p w:rsidR="00AF32AD" w:rsidRDefault="001458D7">
            <w:pPr>
              <w:spacing w:after="0" w:line="276" w:lineRule="auto"/>
            </w:pPr>
            <w:r>
              <w:rPr>
                <w:rFonts w:ascii="Times New Roman" w:eastAsia="Times New Roman" w:hAnsi="Times New Roman" w:cs="Times New Roman"/>
                <w:sz w:val="26"/>
              </w:rPr>
              <w:t>29-06-2025</w:t>
            </w:r>
          </w:p>
        </w:tc>
        <w:tc>
          <w:tcPr>
            <w:tcW w:w="0" w:type="auto"/>
          </w:tcPr>
          <w:p w:rsidR="00AF32AD" w:rsidRDefault="00AF32AD"/>
        </w:tc>
      </w:tr>
    </w:tbl>
    <w:p w:rsidR="00AF32AD" w:rsidRDefault="001458D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Thuốc được cấp phép nhập khẩu khi thuộc một trong các trường hợp sau: a) Thuốc phải kiểm soát đặc biệt sử dụng trong nghiên cứu thử thuốc trên lâm sàng với thuyết minh đề cương nghiên cứu thử thuốc trên lâm sàng đã được Bộ trưởng Bộ Y tế phê duyệt theo quy định tại khoản 1 Điều 94 của Luật Dược và có đầy đủ các thông tin về thuốc đề nghị nhập khẩu, bao gồm: tên thuốc, tên hoạt chất, hàm lượng, dạng bào chế, quy cách đóng gói, số lượng, hạn dùng, tiêu chuẩn chất lượng, chỉ định, tên cơ sở sản xuất, nước s</w:t>
      </w:r>
      <w:r>
        <w:rPr>
          <w:rFonts w:ascii="Times New Roman" w:eastAsia="Times New Roman" w:hAnsi="Times New Roman" w:cs="Times New Roman"/>
          <w:sz w:val="26"/>
        </w:rPr>
        <w:t>ản xuất; b) Sử dụng làm thuốc thử trong thử tương đương sinh học, đánh giá sinh khả dụng tại Việt Nam theo đề cương đã được phê duyệt theo quy định tại khoản 1 Điều 100 của Luật Dược; c) Sử dụng làm thuốc đối chứng trong thử tương đương sinh học. Trường hợp thuốc đối chứng là thuốc mới thì chỉ sử dụng trong nghiên cứu theo đề cương đã được phê duyệt theo quy định tại khoản 1 Điều 100 của Luật Dược; d) Sử dụng trong kiểm nghiệm, kiểm định tại các cơ sở sản xuất thuốc hoặc tại các cơ sở kiểm nghiệm, kiểm định</w:t>
      </w:r>
      <w:r>
        <w:rPr>
          <w:rFonts w:ascii="Times New Roman" w:eastAsia="Times New Roman" w:hAnsi="Times New Roman" w:cs="Times New Roman"/>
          <w:sz w:val="26"/>
        </w:rPr>
        <w:t xml:space="preserve"> thuốc; đ) Sử dụng trong các nghiên cứu khoa học không thuộc các trường hợp trên.   2. Cơ sở nhập khẩu là một trong các cơ sở sau:   a) Cơ sở đã được cấp Giấy chứng nhận đủ điều kiện kinh doanh dược, phạm vi: xuất khẩu, nhập khẩu thuốc; sản xuất thuốc; kinh doanh dịch vụ kiểm nghiệm thuốc, nguyên liệu làm thuốc; kinh doanh dịch vụ thử thuốc trên lâm sàng hoặc kinh doanh dịch vụ thử tương đương sinh học của thuốc.   b) Cơ sở đào tạo y, dược, cơ sở nghiên cứu, kiểm nghiệm thuốc.   c) Văn phòng đại diện tại Vi</w:t>
      </w:r>
      <w:r>
        <w:rPr>
          <w:rFonts w:ascii="Times New Roman" w:eastAsia="Times New Roman" w:hAnsi="Times New Roman" w:cs="Times New Roman"/>
          <w:sz w:val="26"/>
        </w:rPr>
        <w:t>ệt Nam của cơ sở sản xuất, cơ sở đứng tên đăng ký, cơ sở sở hữu giấy phép lưu hành của thuốc thử lâm sàng, thuốc đánh giá sinh khả dụng, thử tương đương sinh học;  d) Cơ sở nhận thử thuốc lâm sàng, cơ sở nhận đánh giá sinh khả dụng, thử tương đương sinh học. Mục đích nhập khẩu thuốc của từng cơ sở nêu trên phải phù hợp với quy định tại Luật Dược; khoản 9, 10 Điều 82 Nghị định số 163/2025/NĐ-CP.</w:t>
      </w:r>
    </w:p>
    <w:p w:rsidR="00AF32AD" w:rsidRDefault="001458D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AF32AD" w:rsidRDefault="001458D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https://thutuc.dichvucong.gov.vn/p/home/dvc-tthc-thu-tuc-hanh-chinh-chi-tiet.html?ma_thu_tuc=406957</w:t>
      </w:r>
    </w:p>
    <w:sectPr w:rsidR="00AF32A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F32AD"/>
    <w:rsid w:val="00063339"/>
    <w:rsid w:val="001458D7"/>
    <w:rsid w:val="00AF3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13AC02F-7520-40EF-81FA-7DC0419D6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1012</Words>
  <Characters>5769</Characters>
  <Application>Microsoft Office Word</Application>
  <DocSecurity>0</DocSecurity>
  <Lines>48</Lines>
  <Paragraphs>13</Paragraphs>
  <ScaleCrop>false</ScaleCrop>
  <Company/>
  <LinksUpToDate>false</LinksUpToDate>
  <CharactersWithSpaces>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2025-12-02T12:27:00Z</dcterms:created>
  <dcterms:modified xsi:type="dcterms:W3CDTF">2025-12-02T12:27:00Z</dcterms:modified>
</cp:coreProperties>
</file>