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650C" w:rsidRDefault="00B933D5">
      <w:pPr>
        <w:spacing w:after="300" w:line="276" w:lineRule="auto"/>
        <w:jc w:val="center"/>
      </w:pPr>
      <w:r>
        <w:rPr>
          <w:rFonts w:ascii="Times New Roman" w:eastAsia="Times New Roman" w:hAnsi="Times New Roman" w:cs="Times New Roman"/>
          <w:b/>
          <w:sz w:val="26"/>
        </w:rPr>
        <w:t>Chi tiết thủ tục hành chính</w:t>
      </w:r>
    </w:p>
    <w:p w:rsidR="0039650C" w:rsidRDefault="00B933D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1.014118</w:t>
      </w:r>
    </w:p>
    <w:p w:rsidR="0039650C" w:rsidRDefault="00B933D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39650C" w:rsidRDefault="00B933D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công bố lại giá bán buôn thuốc dự kiến đối với thuốc kê đơn</w:t>
      </w:r>
    </w:p>
    <w:p w:rsidR="0039650C" w:rsidRDefault="00B933D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9650C" w:rsidRDefault="00B933D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9650C" w:rsidRDefault="00B933D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39650C" w:rsidRDefault="00B933D5">
      <w:pPr>
        <w:spacing w:after="0" w:line="276" w:lineRule="auto"/>
        <w:jc w:val="both"/>
      </w:pPr>
      <w:r>
        <w:rPr>
          <w:rFonts w:ascii="Times New Roman" w:eastAsia="Times New Roman" w:hAnsi="Times New Roman" w:cs="Times New Roman"/>
          <w:b/>
          <w:sz w:val="26"/>
        </w:rPr>
        <w:t xml:space="preserve">Trình tự thực hiện: </w:t>
      </w:r>
    </w:p>
    <w:p w:rsidR="0039650C" w:rsidRDefault="0039650C">
      <w:pPr>
        <w:shd w:val="clear" w:color="auto" w:fill="F2F6F9"/>
        <w:spacing w:before="120" w:after="0" w:line="276" w:lineRule="auto"/>
        <w:jc w:val="both"/>
      </w:pPr>
    </w:p>
    <w:p w:rsidR="0039650C" w:rsidRDefault="00B933D5">
      <w:pPr>
        <w:spacing w:after="0" w:line="276" w:lineRule="auto"/>
        <w:jc w:val="both"/>
      </w:pPr>
      <w:r>
        <w:rPr>
          <w:rFonts w:ascii="Times New Roman" w:eastAsia="Times New Roman" w:hAnsi="Times New Roman" w:cs="Times New Roman"/>
          <w:sz w:val="26"/>
        </w:rPr>
        <w:t>Bước 1: Đối tượng thực hiện công bố, công bố lại thực hiện công bố, công bố lại giá bán buôn thuốc dự kiến đối với thuốc kê đơn. Khi thực hiện công bố, công bố lại, đối tượng thực hiện công bố nộp Bảng công bố, công bố lại giá bán buôn thuốc dự kiến theo mẫu quy định trực tiếp hoặc qua dịch vụ bưu chính hoặc trực tuyến về Bộ Y tế (Cục Quản lý Dược: đối với thuốc hóa dược, thuốc dược liệu, vắc xin, sinh phẩm; Cục Quản lý Y, Dược cổ truyền: đối với thuốc cổ truyền).  Bước 2: Bộ Y tế tổ chức thực hiện tiếp nhậ</w:t>
      </w:r>
      <w:r>
        <w:rPr>
          <w:rFonts w:ascii="Times New Roman" w:eastAsia="Times New Roman" w:hAnsi="Times New Roman" w:cs="Times New Roman"/>
          <w:sz w:val="26"/>
        </w:rPr>
        <w:t>n Bảng công bố, công bố lại giá bán buôn thuốc dự kiến. Trường hợp Bảng công bố, công bố lại giá bán buôn thuốc dự kiến đúng theo mẫu quy định, đầy đủ thông tin và đối tượng thực hiện công bố hoàn thành việc nộp phí theo quy định, trong thời hạn 01 ngày làm việc, Bộ Y tế trả Phiếu tiếp nhận theo Mẫu số 03 tại Phụ lục VII ban hành kèm theo Nghị định số 163/2025/NĐ-CP. Trường hợp Bảng công bố, công bố lại giá bán buôn thuốc dự kiến không đúng theo mẫu quy định hoặc chưa đầy đủ thông tin, trong thời hạn 01 ngà</w:t>
      </w:r>
      <w:r>
        <w:rPr>
          <w:rFonts w:ascii="Times New Roman" w:eastAsia="Times New Roman" w:hAnsi="Times New Roman" w:cs="Times New Roman"/>
          <w:sz w:val="26"/>
        </w:rPr>
        <w:t>y làm việc, Bộ Y tế trả lại Bảng công bố cho đối tượng thực hiện công bố đã nộp và ghi rõ lý do trả lại.  Bước 3: Trong thời hạn 07 ngày làm việc kể từ ngày tiếp nhận đủ hồ sơ, Bộ Y tế (Cục Quản lý Dược: đối với thuốc hóa dược, thuốc dược liệu, vắc xin, sinh phẩm; Cục Quản lý Y, Dược cổ truyền: đối với thuốc cổ truyền) tổ chức rà soát thông tin thuốc tại Bảng công bố, công bố lại giá bán buôn thuốc dự kiến căn cứ giấy đăng ký lưu hành thuốc hoặc giấy phép nhập khẩu thuốc và công khai giá bán buôn thuốc dự k</w:t>
      </w:r>
      <w:r>
        <w:rPr>
          <w:rFonts w:ascii="Times New Roman" w:eastAsia="Times New Roman" w:hAnsi="Times New Roman" w:cs="Times New Roman"/>
          <w:sz w:val="26"/>
        </w:rPr>
        <w:t>iến công bố, công bố lại trên Cổng thông tin điện tử của Bộ Y tế. Trường hợp không công khai giá bán buôn thuốc dự kiến công bố, công bố lại, Bộ Y tế trả lời bằng văn bản và nêu rõ lý do.</w:t>
      </w:r>
    </w:p>
    <w:p w:rsidR="0039650C" w:rsidRDefault="00B933D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5"/>
        <w:gridCol w:w="1646"/>
        <w:gridCol w:w="3736"/>
        <w:gridCol w:w="2424"/>
      </w:tblGrid>
      <w:tr w:rsidR="0039650C">
        <w:tblPrEx>
          <w:tblCellMar>
            <w:top w:w="0" w:type="dxa"/>
            <w:bottom w:w="0" w:type="dxa"/>
          </w:tblCellMar>
        </w:tblPrEx>
        <w:tc>
          <w:tcPr>
            <w:tcW w:w="15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Hình thức nộp</w:t>
            </w:r>
          </w:p>
        </w:tc>
        <w:tc>
          <w:tcPr>
            <w:tcW w:w="2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Phí, lệ phí</w:t>
            </w:r>
          </w:p>
        </w:tc>
        <w:tc>
          <w:tcPr>
            <w:tcW w:w="3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Mô tả</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Trực tiếp</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7 Ngày làm việc</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kể từ ngày tiếp nhận đủ hồ sơ</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Trực tuyến</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7 Ngày làm việc</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quy định của Bộ Tài chính)</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kể từ ngày tiếp nhận đủ hồ sơ</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Dịch vụ bưu chính</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7 Ngày làm việc</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kể từ ngày tiếp nhận đủ hồ sơ</w:t>
            </w:r>
          </w:p>
        </w:tc>
      </w:tr>
    </w:tbl>
    <w:p w:rsidR="0039650C" w:rsidRDefault="00B933D5">
      <w:pPr>
        <w:spacing w:before="240" w:after="0" w:line="276" w:lineRule="auto"/>
        <w:jc w:val="both"/>
      </w:pPr>
      <w:r>
        <w:rPr>
          <w:rFonts w:ascii="Times New Roman" w:eastAsia="Times New Roman" w:hAnsi="Times New Roman" w:cs="Times New Roman"/>
          <w:b/>
          <w:sz w:val="26"/>
        </w:rPr>
        <w:t xml:space="preserve">Thành phần hồ sơ: </w:t>
      </w:r>
    </w:p>
    <w:p w:rsidR="0039650C" w:rsidRDefault="00B933D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93"/>
        <w:gridCol w:w="1354"/>
        <w:gridCol w:w="1064"/>
      </w:tblGrid>
      <w:tr w:rsidR="0039650C">
        <w:tblPrEx>
          <w:tblCellMar>
            <w:top w:w="0" w:type="dxa"/>
            <w:bottom w:w="0" w:type="dxa"/>
          </w:tblCellMar>
        </w:tblPrEx>
        <w:tc>
          <w:tcPr>
            <w:tcW w:w="6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Tên giấy tờ</w:t>
            </w:r>
          </w:p>
        </w:tc>
        <w:tc>
          <w:tcPr>
            <w:tcW w:w="2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Mẫu đơn, tờ khai</w:t>
            </w:r>
          </w:p>
        </w:tc>
        <w:tc>
          <w:tcPr>
            <w:tcW w:w="2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Số lượng</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1. Bảng công bố giá bán buôn thuốc dự kiến thuốc nhập khẩu vào Việt Nam và thuốc sản xuất trong nước theo Mẫu số 01 tại Phụ lục VII ban hành kèm theo Nghị định số 163/2025/NĐ-CP.</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Mu1.docx</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2. Bảng công bố lại giá bán buôn thuốc dự kiến thuốc nhập khẩu vào Việt Nam và thuốc sản xuất trong nước theo Mẫu số 02 tại Phụ lục VII ban hành kèm theo Nghị định số 163/2025/NĐ-CP.</w:t>
            </w:r>
          </w:p>
        </w:tc>
        <w:tc>
          <w:tcPr>
            <w:tcW w:w="0" w:type="auto"/>
          </w:tcPr>
          <w:p w:rsidR="0039650C" w:rsidRDefault="0039650C"/>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Số  lượng  hồ  sơ: 01 bộ</w:t>
            </w:r>
          </w:p>
        </w:tc>
        <w:tc>
          <w:tcPr>
            <w:tcW w:w="0" w:type="auto"/>
          </w:tcPr>
          <w:p w:rsidR="0039650C" w:rsidRDefault="0039650C"/>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39650C" w:rsidRDefault="00B933D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39650C" w:rsidRDefault="00B933D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39650C" w:rsidRDefault="00B933D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9650C" w:rsidRDefault="00B933D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9650C" w:rsidRDefault="00B933D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9650C" w:rsidRDefault="00B933D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9650C" w:rsidRDefault="00B933D5">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Công khai giá bán buôn thuốc dự kiến công bố, công bố lại trên Cổng thông tin điện tử của Bộ Y tế hoặc văn bản trả lời nêu rõ lý do không công khai giá bán buôn thuốc dự kiến công bố, công bố lại</w:t>
      </w:r>
    </w:p>
    <w:p w:rsidR="0039650C" w:rsidRDefault="00B933D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39650C">
        <w:tblPrEx>
          <w:tblCellMar>
            <w:top w:w="0" w:type="dxa"/>
            <w:bottom w:w="0" w:type="dxa"/>
          </w:tblCellMar>
        </w:tblPrEx>
        <w:tc>
          <w:tcPr>
            <w:tcW w:w="2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Số ký hiệu</w:t>
            </w:r>
          </w:p>
        </w:tc>
        <w:tc>
          <w:tcPr>
            <w:tcW w:w="35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Trích yếu</w:t>
            </w:r>
          </w:p>
        </w:tc>
        <w:tc>
          <w:tcPr>
            <w:tcW w:w="15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Ngày ban hành</w:t>
            </w:r>
          </w:p>
        </w:tc>
        <w:tc>
          <w:tcPr>
            <w:tcW w:w="3000" w:type="dxa"/>
          </w:tcPr>
          <w:p w:rsidR="0039650C" w:rsidRDefault="0039650C"/>
          <w:p w:rsidR="0039650C" w:rsidRDefault="00B933D5">
            <w:pPr>
              <w:spacing w:after="0" w:line="276" w:lineRule="auto"/>
              <w:jc w:val="center"/>
            </w:pPr>
            <w:r>
              <w:rPr>
                <w:rFonts w:ascii="Times New Roman" w:eastAsia="Times New Roman" w:hAnsi="Times New Roman" w:cs="Times New Roman"/>
                <w:b/>
                <w:sz w:val="26"/>
              </w:rPr>
              <w:t>Cơ quan ban hành</w:t>
            </w:r>
          </w:p>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105/2016/QH13</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06-04-2016</w:t>
            </w:r>
          </w:p>
        </w:tc>
        <w:tc>
          <w:tcPr>
            <w:tcW w:w="0" w:type="auto"/>
          </w:tcPr>
          <w:p w:rsidR="0039650C" w:rsidRDefault="0039650C"/>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44/2024/QH15</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21-11-2024</w:t>
            </w:r>
          </w:p>
        </w:tc>
        <w:tc>
          <w:tcPr>
            <w:tcW w:w="0" w:type="auto"/>
          </w:tcPr>
          <w:p w:rsidR="0039650C" w:rsidRDefault="0039650C"/>
        </w:tc>
      </w:tr>
      <w:tr w:rsidR="0039650C">
        <w:tblPrEx>
          <w:tblCellMar>
            <w:top w:w="0" w:type="dxa"/>
            <w:bottom w:w="0" w:type="dxa"/>
          </w:tblCellMar>
        </w:tblPrEx>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163/2025/NĐ-CP</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39650C" w:rsidRDefault="0039650C"/>
          <w:p w:rsidR="0039650C" w:rsidRDefault="00B933D5">
            <w:pPr>
              <w:spacing w:after="0" w:line="276" w:lineRule="auto"/>
            </w:pPr>
            <w:r>
              <w:rPr>
                <w:rFonts w:ascii="Times New Roman" w:eastAsia="Times New Roman" w:hAnsi="Times New Roman" w:cs="Times New Roman"/>
                <w:sz w:val="26"/>
              </w:rPr>
              <w:t>29-06-2025</w:t>
            </w:r>
          </w:p>
        </w:tc>
        <w:tc>
          <w:tcPr>
            <w:tcW w:w="0" w:type="auto"/>
          </w:tcPr>
          <w:p w:rsidR="0039650C" w:rsidRDefault="0039650C"/>
        </w:tc>
      </w:tr>
    </w:tbl>
    <w:p w:rsidR="0039650C" w:rsidRDefault="00B933D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Sau khi được cấp giấy đăng ký lưu hành thuốc hoặc giấy phép nhập khẩu thuốc, đối tượng thực hiện công bố quy định tại Điều 113 của Nghị định số 163/2025/NĐ-CP thực hiện công bố giá bán buôn thuốc dự kiến trước khi bán buôn lô thuốc đầu tiên ra thị trường Việt Nam của chính cơ sở đó. Các lô sản xuất tiếp theo hoặc các chuyến hàng nhập khẩu tiếp theo, cơ sở không phải thực hiện công bố nếu không có điều chỉnh giá so với giá bán buôn thuốc dự kiến của thuốc do chính cơ sở đã công bố.  2. Khi có nhu cầu thay</w:t>
      </w:r>
      <w:r>
        <w:rPr>
          <w:rFonts w:ascii="Times New Roman" w:eastAsia="Times New Roman" w:hAnsi="Times New Roman" w:cs="Times New Roman"/>
          <w:sz w:val="26"/>
        </w:rPr>
        <w:t xml:space="preserve"> đổi giá bán buôn thuốc dự kiến đã công bố, công bố lại liền kề trước đó được công bố trên Cổng thông tin điện tử của Bộ Y tế, đối tượng thực hiện công bố quy định tại Điều 113 của Nghị định số 163/2025/NĐ-CP thực hiện công bố lại.</w:t>
      </w:r>
    </w:p>
    <w:p w:rsidR="0039650C" w:rsidRDefault="00B933D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9650C" w:rsidRDefault="00B933D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https://thutuc.dichvucong.gov.vn/p/home/dvc-tthc-thu-tuc-hanh-chinh-chi-tiet.html?ma_thu_tuc=406937</w:t>
      </w:r>
    </w:p>
    <w:sectPr w:rsidR="0039650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650C"/>
    <w:rsid w:val="0039650C"/>
    <w:rsid w:val="00B933D5"/>
    <w:rsid w:val="00CE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1CD0A1-A807-46F6-B797-324B0338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