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D0E6" w14:textId="77777777" w:rsidR="004A2CC4" w:rsidRDefault="003615C6">
      <w:pPr>
        <w:spacing w:after="300" w:line="276" w:lineRule="auto"/>
        <w:jc w:val="center"/>
      </w:pPr>
      <w:r>
        <w:rPr>
          <w:rFonts w:ascii="Times New Roman" w:eastAsia="Times New Roman" w:hAnsi="Times New Roman" w:cs="Times New Roman"/>
          <w:b/>
          <w:sz w:val="26"/>
        </w:rPr>
        <w:t>Chi tiết thủ tục hành chính</w:t>
      </w:r>
    </w:p>
    <w:p w14:paraId="12DBB0EB" w14:textId="77777777" w:rsidR="004A2CC4" w:rsidRDefault="003615C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1.014140</w:t>
      </w:r>
    </w:p>
    <w:p w14:paraId="111EE50A" w14:textId="77777777" w:rsidR="004A2CC4" w:rsidRDefault="003615C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2306/QĐ-BYT</w:t>
      </w:r>
    </w:p>
    <w:p w14:paraId="694576EA" w14:textId="77777777" w:rsidR="004A2CC4" w:rsidRDefault="003615C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thanh toán trực tiếp chi phí khám bệnh, chữa bệnh giữa cơ quan bảo hiểm xã hội và người tham gia bảo hiểm y tế</w:t>
      </w:r>
    </w:p>
    <w:p w14:paraId="28EFD762" w14:textId="77777777" w:rsidR="004A2CC4" w:rsidRDefault="003615C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1426A56B" w14:textId="77777777" w:rsidR="004A2CC4" w:rsidRDefault="003615C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9A4B30B" w14:textId="77777777" w:rsidR="004A2CC4" w:rsidRDefault="003615C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14:paraId="2E75772D" w14:textId="77777777" w:rsidR="004A2CC4" w:rsidRDefault="003615C6">
      <w:pPr>
        <w:spacing w:after="0" w:line="276" w:lineRule="auto"/>
        <w:jc w:val="both"/>
      </w:pPr>
      <w:r>
        <w:rPr>
          <w:rFonts w:ascii="Times New Roman" w:eastAsia="Times New Roman" w:hAnsi="Times New Roman" w:cs="Times New Roman"/>
          <w:b/>
          <w:sz w:val="26"/>
        </w:rPr>
        <w:t xml:space="preserve">Trình tự thực hiện: </w:t>
      </w:r>
    </w:p>
    <w:p w14:paraId="6B69CC71" w14:textId="77777777" w:rsidR="004A2CC4" w:rsidRDefault="003615C6">
      <w:pPr>
        <w:shd w:val="clear" w:color="auto" w:fill="F2F6F9"/>
        <w:spacing w:before="120" w:after="0" w:line="276" w:lineRule="auto"/>
        <w:jc w:val="both"/>
      </w:pPr>
      <w:r>
        <w:rPr>
          <w:rFonts w:ascii="Times New Roman" w:eastAsia="Times New Roman" w:hAnsi="Times New Roman" w:cs="Times New Roman"/>
          <w:b/>
          <w:sz w:val="26"/>
        </w:rPr>
        <w:t>Trường hợp người tham gia bảo hiểm y tế đề nghị cơ quan bảo hiểm xã hội thanh toán trực tiếp chi phí khám bệnh, chữa bệnh bảo hiểm y tế</w:t>
      </w:r>
    </w:p>
    <w:p w14:paraId="54D4F5BF" w14:textId="77777777" w:rsidR="004A2CC4" w:rsidRDefault="003615C6">
      <w:pPr>
        <w:spacing w:after="0" w:line="276" w:lineRule="auto"/>
        <w:jc w:val="both"/>
      </w:pPr>
      <w:r>
        <w:rPr>
          <w:rFonts w:ascii="Times New Roman" w:eastAsia="Times New Roman" w:hAnsi="Times New Roman" w:cs="Times New Roman"/>
          <w:sz w:val="26"/>
        </w:rPr>
        <w:t>Bước 1: Người bệnh hoặc thân nhân của người bệnh kê khai đầy đủ thông tin theo văn bản đề nghị thanh toán trực tiếp, đồng thời nộp hồ sơ theo quy định tại các khoản 2, 3 và 4 Điều 55 của Nghị định số 188/2025/NĐ-CP cho cơ quan bảo hiểm xã hội nơi ký hợp đồng khám bệnh, chữa bệnh bảo hiểm y tế với cơ sở khám bệnh, chữa bệnh nơi bệnh nhân điều trị. Bước 2: Cổng dịch vụ công quốc gia hoặc ứng dụng của cơ quan bảo hiểm xã hội hoặc cán bộ tiếp nhận hồ sơ trả Giấy tiếp nhận hồ sơ và hẹn trả kết quả thanh toán trự</w:t>
      </w:r>
      <w:r>
        <w:rPr>
          <w:rFonts w:ascii="Times New Roman" w:eastAsia="Times New Roman" w:hAnsi="Times New Roman" w:cs="Times New Roman"/>
          <w:sz w:val="26"/>
        </w:rPr>
        <w:t>c tiếp cho người bệnh hoặc thân nhân của người bệnh. Bước 3:  - Trường hợp không có yêu cầu sửa đổi, bổ sung hồ sơ, trong thời hạn 25 ngày, kể từ ngày nhận đủ hồ sơ hợp lệ (trường hợp nộp hồ sơ bản giấy căn cứ theo ngày ghi trên dấu công văn đến hoặc giấy tiếp nhận hồ sơ), cơ quan bảo hiểm xã hội phải hoàn thành việc giám định bảo hiểm y tế và thanh toán chi phí cho người bệnh.  - Trường hợp có yêu cầu sửa đổi, bổ sung hồ sơ được thực hiện như sau: + Trong thời hạn 05 ngày làm việc, kể từ ngày nhận hồ sơ (t</w:t>
      </w:r>
      <w:r>
        <w:rPr>
          <w:rFonts w:ascii="Times New Roman" w:eastAsia="Times New Roman" w:hAnsi="Times New Roman" w:cs="Times New Roman"/>
          <w:sz w:val="26"/>
        </w:rPr>
        <w:t>rường hợp nộp hồ sơ bản giấy căn cứ theo ngày ghi trên dấu công văn đến hoặc giấy tiếp nhận hồ sơ), cơ quan bảo hiểm xã hội phải có văn bản ghi cụ thể nội dung cần sửa đổi, bổ sung gửi người bệnh hoặc thân nhân của người bệnh. + Trong thời hạn 20 ngày kể từ ngày nhận được văn bản yêu cầu sửa đổi, bổ sung (trường hợp nộp hồ sơ bản giấy căn cứ theo ngày ghi trên dấu công văn đến hoặc giấy tiếp nhận hồ sơ), người bệnh hoặc thân nhân của người bệnh có trách nhiệm sửa đổi, bổ sung hồ sơ và gửi cơ quan bảo hiểm x</w:t>
      </w:r>
      <w:r>
        <w:rPr>
          <w:rFonts w:ascii="Times New Roman" w:eastAsia="Times New Roman" w:hAnsi="Times New Roman" w:cs="Times New Roman"/>
          <w:sz w:val="26"/>
        </w:rPr>
        <w:t>ã hội để xem xét. + Trong thời hạn 20 ngày, kể từ ngày nhận hồ sơ sửa đổi, bổ sung đáp ứng đủ điều kiện theo quy định (trường hợp nộp hồ sơ bản giấy căn cứ theo ngày ghi trên dấu công văn đến hoặc giấy tiếp nhận hồ sơ), cơ quan bảo hiểm xã hội phải thực hiện thanh toán chi phí cho người bệnh. Chi phí thanh toán trực tiếp bằng tiền mặt hoặc chuyển khoản theo số tài khoản của người bệnh được cung cấp tại văn bản đề nghị thanh toán trực tiếp.</w:t>
      </w:r>
    </w:p>
    <w:p w14:paraId="08E49368" w14:textId="77777777" w:rsidR="004A2CC4" w:rsidRDefault="003615C6">
      <w:pPr>
        <w:shd w:val="clear" w:color="auto" w:fill="F2F6F9"/>
        <w:spacing w:before="120" w:after="0" w:line="276" w:lineRule="auto"/>
        <w:jc w:val="both"/>
      </w:pPr>
      <w:r>
        <w:rPr>
          <w:rFonts w:ascii="Times New Roman" w:eastAsia="Times New Roman" w:hAnsi="Times New Roman" w:cs="Times New Roman"/>
          <w:b/>
          <w:sz w:val="26"/>
        </w:rPr>
        <w:t>Trường hợp cơ quan, tổ chức, người sử dụng lao động chậm đóng, trốn đóng bảo hiểm y tế hoàn trả chi phí khám bệnh, chữa bệnh bảo hiểm y tế cho người lao động</w:t>
      </w:r>
    </w:p>
    <w:p w14:paraId="43F7A94A" w14:textId="77777777" w:rsidR="004A2CC4" w:rsidRDefault="003615C6">
      <w:pPr>
        <w:spacing w:after="0" w:line="276" w:lineRule="auto"/>
        <w:jc w:val="both"/>
      </w:pPr>
      <w:r>
        <w:rPr>
          <w:rFonts w:ascii="Times New Roman" w:eastAsia="Times New Roman" w:hAnsi="Times New Roman" w:cs="Times New Roman"/>
          <w:sz w:val="26"/>
        </w:rPr>
        <w:t xml:space="preserve">+ Bước 1: Người lao động hoặc thân nhân hoặc người đại diện hợp pháp theo quy định của pháp luật của người lao động trực tiếp nộp hồ sơ theo thành phần quy định tại các </w:t>
      </w:r>
      <w:r>
        <w:rPr>
          <w:rFonts w:ascii="Times New Roman" w:eastAsia="Times New Roman" w:hAnsi="Times New Roman" w:cs="Times New Roman"/>
          <w:sz w:val="26"/>
        </w:rPr>
        <w:lastRenderedPageBreak/>
        <w:t xml:space="preserve">khoản 2, 3 và 4 Điều 55 của Nghị định số 188/2025/NĐ-CP và bảng kê chi phí xác định số tiền người bệnh đã thanh toán cho cơ sở khám bệnh, chữa bệnh kèm theo hoá đơn hợp pháp do cơ sở khám bệnh, chữa bệnh cung cấp cho cơ quan, tổ chức, người sử dụng lao động chậm đóng, trốn đóng bảo hiểm y tế. + Bước 2: Trong thời hạn 40 ngày kể từ ngày nhận đủ hồ sơ đề nghị thanh toán, cơ quan, tổ chức, người sử dụng lao động có trách nhiệm phải thanh toán chi phí khám bệnh, chữa bệnh cho người lao động hoặc thân nhân hoặc </w:t>
      </w:r>
      <w:r>
        <w:rPr>
          <w:rFonts w:ascii="Times New Roman" w:eastAsia="Times New Roman" w:hAnsi="Times New Roman" w:cs="Times New Roman"/>
          <w:sz w:val="26"/>
        </w:rPr>
        <w:t>người đại diện hợp pháp theo quy định của pháp luật của người lao động.</w:t>
      </w:r>
    </w:p>
    <w:p w14:paraId="0F2651AE" w14:textId="77777777" w:rsidR="004A2CC4" w:rsidRDefault="003615C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1"/>
        <w:gridCol w:w="901"/>
        <w:gridCol w:w="1041"/>
        <w:gridCol w:w="6698"/>
      </w:tblGrid>
      <w:tr w:rsidR="004A2CC4" w14:paraId="74845EA1" w14:textId="77777777">
        <w:tblPrEx>
          <w:tblCellMar>
            <w:top w:w="0" w:type="dxa"/>
            <w:bottom w:w="0" w:type="dxa"/>
          </w:tblCellMar>
        </w:tblPrEx>
        <w:tc>
          <w:tcPr>
            <w:tcW w:w="1500" w:type="dxa"/>
          </w:tcPr>
          <w:p w14:paraId="4C1832DD" w14:textId="77777777" w:rsidR="004A2CC4" w:rsidRDefault="004A2CC4"/>
          <w:p w14:paraId="57641A08" w14:textId="77777777" w:rsidR="004A2CC4" w:rsidRDefault="003615C6">
            <w:pPr>
              <w:spacing w:after="0" w:line="276" w:lineRule="auto"/>
              <w:jc w:val="center"/>
            </w:pPr>
            <w:r>
              <w:rPr>
                <w:rFonts w:ascii="Times New Roman" w:eastAsia="Times New Roman" w:hAnsi="Times New Roman" w:cs="Times New Roman"/>
                <w:b/>
                <w:sz w:val="26"/>
              </w:rPr>
              <w:t>Hình thức nộp</w:t>
            </w:r>
          </w:p>
        </w:tc>
        <w:tc>
          <w:tcPr>
            <w:tcW w:w="2000" w:type="dxa"/>
          </w:tcPr>
          <w:p w14:paraId="36478544" w14:textId="77777777" w:rsidR="004A2CC4" w:rsidRDefault="004A2CC4"/>
          <w:p w14:paraId="70D04BCE" w14:textId="77777777" w:rsidR="004A2CC4" w:rsidRDefault="003615C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F91055" w14:textId="77777777" w:rsidR="004A2CC4" w:rsidRDefault="004A2CC4"/>
          <w:p w14:paraId="4AF42EF9" w14:textId="77777777" w:rsidR="004A2CC4" w:rsidRDefault="003615C6">
            <w:pPr>
              <w:spacing w:after="0" w:line="276" w:lineRule="auto"/>
              <w:jc w:val="center"/>
            </w:pPr>
            <w:r>
              <w:rPr>
                <w:rFonts w:ascii="Times New Roman" w:eastAsia="Times New Roman" w:hAnsi="Times New Roman" w:cs="Times New Roman"/>
                <w:b/>
                <w:sz w:val="26"/>
              </w:rPr>
              <w:t>Phí, lệ phí</w:t>
            </w:r>
          </w:p>
        </w:tc>
        <w:tc>
          <w:tcPr>
            <w:tcW w:w="3000" w:type="dxa"/>
          </w:tcPr>
          <w:p w14:paraId="14BAD2BD" w14:textId="77777777" w:rsidR="004A2CC4" w:rsidRDefault="004A2CC4"/>
          <w:p w14:paraId="5E3363B1" w14:textId="77777777" w:rsidR="004A2CC4" w:rsidRDefault="003615C6">
            <w:pPr>
              <w:spacing w:after="0" w:line="276" w:lineRule="auto"/>
              <w:jc w:val="center"/>
            </w:pPr>
            <w:r>
              <w:rPr>
                <w:rFonts w:ascii="Times New Roman" w:eastAsia="Times New Roman" w:hAnsi="Times New Roman" w:cs="Times New Roman"/>
                <w:b/>
                <w:sz w:val="26"/>
              </w:rPr>
              <w:t>Mô tả</w:t>
            </w:r>
          </w:p>
        </w:tc>
      </w:tr>
      <w:tr w:rsidR="004A2CC4" w14:paraId="5C017AB7" w14:textId="77777777">
        <w:tblPrEx>
          <w:tblCellMar>
            <w:top w:w="0" w:type="dxa"/>
            <w:bottom w:w="0" w:type="dxa"/>
          </w:tblCellMar>
        </w:tblPrEx>
        <w:tc>
          <w:tcPr>
            <w:tcW w:w="0" w:type="auto"/>
          </w:tcPr>
          <w:p w14:paraId="152F44D2" w14:textId="77777777" w:rsidR="004A2CC4" w:rsidRDefault="004A2CC4"/>
          <w:p w14:paraId="516FE95B" w14:textId="77777777" w:rsidR="004A2CC4" w:rsidRDefault="003615C6">
            <w:pPr>
              <w:spacing w:after="0" w:line="276" w:lineRule="auto"/>
            </w:pPr>
            <w:r>
              <w:rPr>
                <w:rFonts w:ascii="Times New Roman" w:eastAsia="Times New Roman" w:hAnsi="Times New Roman" w:cs="Times New Roman"/>
                <w:sz w:val="26"/>
              </w:rPr>
              <w:t>Trực tiếp</w:t>
            </w:r>
          </w:p>
        </w:tc>
        <w:tc>
          <w:tcPr>
            <w:tcW w:w="0" w:type="auto"/>
          </w:tcPr>
          <w:p w14:paraId="4D582352" w14:textId="77777777" w:rsidR="004A2CC4" w:rsidRDefault="004A2CC4"/>
          <w:p w14:paraId="494FE3C5" w14:textId="77777777" w:rsidR="004A2CC4" w:rsidRDefault="003615C6">
            <w:pPr>
              <w:spacing w:after="0" w:line="276" w:lineRule="auto"/>
            </w:pPr>
            <w:r>
              <w:rPr>
                <w:rFonts w:ascii="Times New Roman" w:eastAsia="Times New Roman" w:hAnsi="Times New Roman" w:cs="Times New Roman"/>
                <w:sz w:val="26"/>
              </w:rPr>
              <w:t xml:space="preserve"> </w:t>
            </w:r>
          </w:p>
        </w:tc>
        <w:tc>
          <w:tcPr>
            <w:tcW w:w="0" w:type="auto"/>
          </w:tcPr>
          <w:p w14:paraId="18E1D463" w14:textId="77777777" w:rsidR="004A2CC4" w:rsidRDefault="004A2CC4"/>
          <w:p w14:paraId="2A9D88F2" w14:textId="77777777" w:rsidR="004A2CC4" w:rsidRDefault="004A2CC4">
            <w:pPr>
              <w:spacing w:after="0" w:line="276" w:lineRule="auto"/>
            </w:pPr>
          </w:p>
        </w:tc>
        <w:tc>
          <w:tcPr>
            <w:tcW w:w="0" w:type="auto"/>
          </w:tcPr>
          <w:p w14:paraId="789B817B" w14:textId="77777777" w:rsidR="004A2CC4" w:rsidRDefault="004A2CC4"/>
          <w:p w14:paraId="00C33629" w14:textId="77777777" w:rsidR="004A2CC4" w:rsidRDefault="003615C6">
            <w:pPr>
              <w:spacing w:after="0" w:line="276" w:lineRule="auto"/>
            </w:pPr>
            <w:r>
              <w:rPr>
                <w:rFonts w:ascii="Times New Roman" w:eastAsia="Times New Roman" w:hAnsi="Times New Roman" w:cs="Times New Roman"/>
                <w:sz w:val="26"/>
              </w:rPr>
              <w:t xml:space="preserve">1. Trường hợp không có yêu cầu sửa đổi, bổ sung hồ sơ: 25 ngày kể từ ngày nhận đủ hồ sơ hợp lệ. 2. Trường hợp yêu cầu sửa đổi, bổ sung hồ sơ: </w:t>
            </w:r>
            <w:r>
              <w:rPr>
                <w:rFonts w:ascii="Times New Roman" w:eastAsia="Times New Roman" w:hAnsi="Times New Roman" w:cs="Times New Roman"/>
                <w:sz w:val="26"/>
              </w:rPr>
              <w:t>- Trong thời hạn 05 ngày làm việc, kể từ ngày nhận hồ sơ (trường hợp nộp hồ sơ bản giấy căn cứ theo ngày ghi trên dấu công văn đến hoặc giấy tiếp nhận hồ sơ), cơ quan bảo hiểm xã hội phải có văn bản ghi cụ thể nội dung cần sửa đổi, bổ sung gửi người bệnh hoặc thân nhân của người bệnh. - Trong thời hạn 20 ngày kể từ ngày nhận được văn bản yêu cầu sửa đổi, bổ sung (trường hợp nộp hồ sơ bản giấy căn cứ theo ngày ghi trên dấu công văn đến hoặc giấy tiếp nhận hồ sơ), người bệnh hoặc thân nhân của người bệnh có t</w:t>
            </w:r>
            <w:r>
              <w:rPr>
                <w:rFonts w:ascii="Times New Roman" w:eastAsia="Times New Roman" w:hAnsi="Times New Roman" w:cs="Times New Roman"/>
                <w:sz w:val="26"/>
              </w:rPr>
              <w:t>rách nhiệm sửa đổi, bổ sung hồ sơ và gửi cơ quan bảo hiểm xã hội để xem xét. - Trong thời hạn 20 ngày, kể từ ngày nhận hồ sơ sửa đổi, bổ sung đáp ứng đủ điều kiện theo quy định (trường hợp nộp hồ sơ bản giấy căn cứ theo ngày ghi trên dấu công văn đến hoặc giấy tiếp nhận hồ sơ), cơ quan bảo hiểm xã hội phải thực hiện thanh toán chi phí cho người bệnh.  3. Trường hợp thanh toán cơ quan, tổ chức, người sử dụng lao động chậm đóng, trốn đóng bảo hiểm y tế hoàn trả chi phí khám bệnh, chữa bệnh bảo hiểm y tế cho n</w:t>
            </w:r>
            <w:r>
              <w:rPr>
                <w:rFonts w:ascii="Times New Roman" w:eastAsia="Times New Roman" w:hAnsi="Times New Roman" w:cs="Times New Roman"/>
                <w:sz w:val="26"/>
              </w:rPr>
              <w:t>gười lao động: Trong thời hạn 40 ngày kể từ ngày nhận đủ hồ sơ đề nghị thanh toán.</w:t>
            </w:r>
          </w:p>
        </w:tc>
      </w:tr>
      <w:tr w:rsidR="004A2CC4" w14:paraId="799D35DE" w14:textId="77777777">
        <w:tblPrEx>
          <w:tblCellMar>
            <w:top w:w="0" w:type="dxa"/>
            <w:bottom w:w="0" w:type="dxa"/>
          </w:tblCellMar>
        </w:tblPrEx>
        <w:tc>
          <w:tcPr>
            <w:tcW w:w="0" w:type="auto"/>
          </w:tcPr>
          <w:p w14:paraId="3FCDA4AF" w14:textId="77777777" w:rsidR="004A2CC4" w:rsidRDefault="004A2CC4"/>
          <w:p w14:paraId="4F33A996" w14:textId="77777777" w:rsidR="004A2CC4" w:rsidRDefault="003615C6">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0BFDBB6F" w14:textId="77777777" w:rsidR="004A2CC4" w:rsidRDefault="004A2CC4"/>
          <w:p w14:paraId="200C3FEF" w14:textId="77777777" w:rsidR="004A2CC4" w:rsidRDefault="003615C6">
            <w:pPr>
              <w:spacing w:after="0" w:line="276" w:lineRule="auto"/>
            </w:pPr>
            <w:r>
              <w:rPr>
                <w:rFonts w:ascii="Times New Roman" w:eastAsia="Times New Roman" w:hAnsi="Times New Roman" w:cs="Times New Roman"/>
                <w:sz w:val="26"/>
              </w:rPr>
              <w:t xml:space="preserve"> </w:t>
            </w:r>
          </w:p>
        </w:tc>
        <w:tc>
          <w:tcPr>
            <w:tcW w:w="0" w:type="auto"/>
          </w:tcPr>
          <w:p w14:paraId="10FD668E" w14:textId="77777777" w:rsidR="004A2CC4" w:rsidRDefault="004A2CC4"/>
          <w:p w14:paraId="645407F0" w14:textId="77777777" w:rsidR="004A2CC4" w:rsidRDefault="004A2CC4">
            <w:pPr>
              <w:spacing w:after="0" w:line="276" w:lineRule="auto"/>
            </w:pPr>
          </w:p>
        </w:tc>
        <w:tc>
          <w:tcPr>
            <w:tcW w:w="0" w:type="auto"/>
          </w:tcPr>
          <w:p w14:paraId="06C15E6E" w14:textId="77777777" w:rsidR="004A2CC4" w:rsidRDefault="004A2CC4"/>
          <w:p w14:paraId="43504614" w14:textId="77777777" w:rsidR="004A2CC4" w:rsidRDefault="003615C6">
            <w:pPr>
              <w:spacing w:after="0" w:line="276" w:lineRule="auto"/>
            </w:pPr>
            <w:r>
              <w:rPr>
                <w:rFonts w:ascii="Times New Roman" w:eastAsia="Times New Roman" w:hAnsi="Times New Roman" w:cs="Times New Roman"/>
                <w:sz w:val="26"/>
              </w:rPr>
              <w:t xml:space="preserve">1. Trường hợp không có yêu cầu sửa đổi, bổ sung hồ sơ: 25 </w:t>
            </w:r>
            <w:r>
              <w:rPr>
                <w:rFonts w:ascii="Times New Roman" w:eastAsia="Times New Roman" w:hAnsi="Times New Roman" w:cs="Times New Roman"/>
                <w:sz w:val="26"/>
              </w:rPr>
              <w:lastRenderedPageBreak/>
              <w:t>ngày kể từ ngày nhận đủ hồ sơ hợp lệ. 2. Trường hợp yêu cầu sửa đổi, bổ sung hồ sơ: - Trong thời hạn 05 ngày làm việc, kể từ ngày nhận hồ sơ (trường hợp nộp hồ sơ bản giấy căn cứ theo ngày ghi trên dấu công văn đến hoặc giấy tiếp nhận hồ sơ), cơ quan bảo hiểm xã hội phải có văn bản ghi cụ thể nội dung cần sửa đổi, bổ sung gửi người bệnh hoặc thân nhân của người bệnh. - Trong thời hạn 20 ngày kể từ ngày nhận được văn bản yêu cầu sửa đổi, bổ sung (trường hợp nộp hồ sơ bản giấy căn cứ theo ngày ghi trên dấu cô</w:t>
            </w:r>
            <w:r>
              <w:rPr>
                <w:rFonts w:ascii="Times New Roman" w:eastAsia="Times New Roman" w:hAnsi="Times New Roman" w:cs="Times New Roman"/>
                <w:sz w:val="26"/>
              </w:rPr>
              <w:t>ng văn đến hoặc giấy tiếp nhận hồ sơ), người bệnh hoặc thân nhân của người bệnh có trách nhiệm sửa đổi, bổ sung hồ sơ và gửi cơ quan bảo hiểm xã hội để xem xét. - Trong thời hạn 20 ngày, kể từ ngày nhận hồ sơ sửa đổi, bổ sung đáp ứng đủ điều kiện theo quy định (trường hợp nộp hồ sơ bản giấy căn cứ theo ngày ghi trên dấu công văn đến hoặc giấy tiếp nhận hồ sơ), cơ quan bảo hiểm xã hội phải thực hiện thanh toán chi phí cho người bệnh.  3. Trường hợp thanh toán cơ quan, tổ chức, người sử dụng lao động chậm đón</w:t>
            </w:r>
            <w:r>
              <w:rPr>
                <w:rFonts w:ascii="Times New Roman" w:eastAsia="Times New Roman" w:hAnsi="Times New Roman" w:cs="Times New Roman"/>
                <w:sz w:val="26"/>
              </w:rPr>
              <w:t>g, trốn đóng bảo hiểm y tế hoàn trả chi phí khám bệnh, chữa bệnh bảo hiểm y tế cho người lao động: Trong thời hạn 40 ngày kể từ ngày nhận đủ hồ sơ đề nghị thanh toán.</w:t>
            </w:r>
          </w:p>
        </w:tc>
      </w:tr>
    </w:tbl>
    <w:p w14:paraId="1F28863A" w14:textId="77777777" w:rsidR="004A2CC4" w:rsidRDefault="003615C6">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0B22D38" w14:textId="77777777" w:rsidR="004A2CC4" w:rsidRDefault="003615C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72"/>
        <w:gridCol w:w="1439"/>
        <w:gridCol w:w="914"/>
      </w:tblGrid>
      <w:tr w:rsidR="004A2CC4" w14:paraId="377EBCB3" w14:textId="77777777">
        <w:tblPrEx>
          <w:tblCellMar>
            <w:top w:w="0" w:type="dxa"/>
            <w:bottom w:w="0" w:type="dxa"/>
          </w:tblCellMar>
        </w:tblPrEx>
        <w:tc>
          <w:tcPr>
            <w:tcW w:w="6000" w:type="dxa"/>
          </w:tcPr>
          <w:p w14:paraId="7E7DA87D" w14:textId="77777777" w:rsidR="004A2CC4" w:rsidRDefault="004A2CC4"/>
          <w:p w14:paraId="35B5BA06" w14:textId="77777777" w:rsidR="004A2CC4" w:rsidRDefault="003615C6">
            <w:pPr>
              <w:spacing w:after="0" w:line="276" w:lineRule="auto"/>
              <w:jc w:val="center"/>
            </w:pPr>
            <w:r>
              <w:rPr>
                <w:rFonts w:ascii="Times New Roman" w:eastAsia="Times New Roman" w:hAnsi="Times New Roman" w:cs="Times New Roman"/>
                <w:b/>
                <w:sz w:val="26"/>
              </w:rPr>
              <w:t>Tên giấy tờ</w:t>
            </w:r>
          </w:p>
        </w:tc>
        <w:tc>
          <w:tcPr>
            <w:tcW w:w="2000" w:type="dxa"/>
          </w:tcPr>
          <w:p w14:paraId="17AE4057" w14:textId="77777777" w:rsidR="004A2CC4" w:rsidRDefault="004A2CC4"/>
          <w:p w14:paraId="12E6FA03" w14:textId="77777777" w:rsidR="004A2CC4" w:rsidRDefault="003615C6">
            <w:pPr>
              <w:spacing w:after="0" w:line="276" w:lineRule="auto"/>
              <w:jc w:val="center"/>
            </w:pPr>
            <w:r>
              <w:rPr>
                <w:rFonts w:ascii="Times New Roman" w:eastAsia="Times New Roman" w:hAnsi="Times New Roman" w:cs="Times New Roman"/>
                <w:b/>
                <w:sz w:val="26"/>
              </w:rPr>
              <w:t>Mẫu đơn, tờ khai</w:t>
            </w:r>
          </w:p>
        </w:tc>
        <w:tc>
          <w:tcPr>
            <w:tcW w:w="2000" w:type="dxa"/>
          </w:tcPr>
          <w:p w14:paraId="4212059A" w14:textId="77777777" w:rsidR="004A2CC4" w:rsidRDefault="004A2CC4"/>
          <w:p w14:paraId="486DCDD8" w14:textId="77777777" w:rsidR="004A2CC4" w:rsidRDefault="003615C6">
            <w:pPr>
              <w:spacing w:after="0" w:line="276" w:lineRule="auto"/>
              <w:jc w:val="center"/>
            </w:pPr>
            <w:r>
              <w:rPr>
                <w:rFonts w:ascii="Times New Roman" w:eastAsia="Times New Roman" w:hAnsi="Times New Roman" w:cs="Times New Roman"/>
                <w:b/>
                <w:sz w:val="26"/>
              </w:rPr>
              <w:t>Số lượng</w:t>
            </w:r>
          </w:p>
        </w:tc>
      </w:tr>
      <w:tr w:rsidR="004A2CC4" w14:paraId="5FDAC632" w14:textId="77777777">
        <w:tblPrEx>
          <w:tblCellMar>
            <w:top w:w="0" w:type="dxa"/>
            <w:bottom w:w="0" w:type="dxa"/>
          </w:tblCellMar>
        </w:tblPrEx>
        <w:tc>
          <w:tcPr>
            <w:tcW w:w="0" w:type="auto"/>
          </w:tcPr>
          <w:p w14:paraId="1419E1B7" w14:textId="77777777" w:rsidR="004A2CC4" w:rsidRDefault="004A2CC4"/>
          <w:p w14:paraId="3FF4F648" w14:textId="77777777" w:rsidR="004A2CC4" w:rsidRDefault="003615C6">
            <w:pPr>
              <w:spacing w:after="0" w:line="276" w:lineRule="auto"/>
            </w:pPr>
            <w:r>
              <w:rPr>
                <w:rFonts w:ascii="Times New Roman" w:eastAsia="Times New Roman" w:hAnsi="Times New Roman" w:cs="Times New Roman"/>
                <w:sz w:val="26"/>
              </w:rPr>
              <w:t>Văn bản đề nghị thanh toán trực tiếp theo Mẫu số 10 Phụ lục ban hành kèm theo Nghị định số 188/2025/NĐ-CP</w:t>
            </w:r>
          </w:p>
        </w:tc>
        <w:tc>
          <w:tcPr>
            <w:tcW w:w="0" w:type="auto"/>
          </w:tcPr>
          <w:p w14:paraId="339908F7" w14:textId="77777777" w:rsidR="004A2CC4" w:rsidRDefault="004A2CC4"/>
          <w:p w14:paraId="10F9B949" w14:textId="77777777" w:rsidR="004A2CC4" w:rsidRDefault="003615C6">
            <w:pPr>
              <w:spacing w:after="0" w:line="276" w:lineRule="auto"/>
            </w:pPr>
            <w:r>
              <w:rPr>
                <w:rFonts w:ascii="Times New Roman" w:eastAsia="Times New Roman" w:hAnsi="Times New Roman" w:cs="Times New Roman"/>
                <w:sz w:val="26"/>
              </w:rPr>
              <w:t>Mus10.docx</w:t>
            </w:r>
          </w:p>
        </w:tc>
        <w:tc>
          <w:tcPr>
            <w:tcW w:w="0" w:type="auto"/>
          </w:tcPr>
          <w:p w14:paraId="5745D8EB" w14:textId="77777777" w:rsidR="004A2CC4" w:rsidRDefault="004A2CC4"/>
          <w:p w14:paraId="2D9FA070"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679FE8E3" w14:textId="77777777">
        <w:tblPrEx>
          <w:tblCellMar>
            <w:top w:w="0" w:type="dxa"/>
            <w:bottom w:w="0" w:type="dxa"/>
          </w:tblCellMar>
        </w:tblPrEx>
        <w:tc>
          <w:tcPr>
            <w:tcW w:w="0" w:type="auto"/>
          </w:tcPr>
          <w:p w14:paraId="66F26060" w14:textId="77777777" w:rsidR="004A2CC4" w:rsidRDefault="004A2CC4"/>
          <w:p w14:paraId="7B683882" w14:textId="77777777" w:rsidR="004A2CC4" w:rsidRDefault="003615C6">
            <w:pPr>
              <w:spacing w:after="0" w:line="276" w:lineRule="auto"/>
            </w:pPr>
            <w:r>
              <w:rPr>
                <w:rFonts w:ascii="Times New Roman" w:eastAsia="Times New Roman" w:hAnsi="Times New Roman" w:cs="Times New Roman"/>
                <w:sz w:val="26"/>
              </w:rPr>
              <w:t>Bản chụp của thẻ bảo hiểm y tế hoặc mã số bảo hiểm y tế đối với trường hợp có thông tin về thẻ bảo hiểm y tế bản điện tử, giấy chứng minh nhân thân theo quy định</w:t>
            </w:r>
          </w:p>
        </w:tc>
        <w:tc>
          <w:tcPr>
            <w:tcW w:w="0" w:type="auto"/>
          </w:tcPr>
          <w:p w14:paraId="684CDA2C" w14:textId="77777777" w:rsidR="004A2CC4" w:rsidRDefault="004A2CC4"/>
        </w:tc>
        <w:tc>
          <w:tcPr>
            <w:tcW w:w="0" w:type="auto"/>
          </w:tcPr>
          <w:p w14:paraId="675AA911" w14:textId="77777777" w:rsidR="004A2CC4" w:rsidRDefault="004A2CC4"/>
          <w:p w14:paraId="1C14DE46"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049A6412" w14:textId="77777777">
        <w:tblPrEx>
          <w:tblCellMar>
            <w:top w:w="0" w:type="dxa"/>
            <w:bottom w:w="0" w:type="dxa"/>
          </w:tblCellMar>
        </w:tblPrEx>
        <w:tc>
          <w:tcPr>
            <w:tcW w:w="0" w:type="auto"/>
          </w:tcPr>
          <w:p w14:paraId="7CB634E9" w14:textId="77777777" w:rsidR="004A2CC4" w:rsidRDefault="004A2CC4"/>
          <w:p w14:paraId="7518D6C9" w14:textId="77777777" w:rsidR="004A2CC4" w:rsidRDefault="003615C6">
            <w:pPr>
              <w:spacing w:after="0" w:line="276" w:lineRule="auto"/>
            </w:pPr>
            <w:r>
              <w:rPr>
                <w:rFonts w:ascii="Times New Roman" w:eastAsia="Times New Roman" w:hAnsi="Times New Roman" w:cs="Times New Roman"/>
                <w:sz w:val="26"/>
              </w:rPr>
              <w:t>Bản chụp của thẻ BHYT có mức hưởng cũ và thẻ BHYT có mức hưởng mới cao hơn (đối với trường hợp đề nghị thanh toán trực tiếp do thay đổi mức hưởng của thẻ bảo hiểm y tế theo quy định tại khoản 5 Điều 54 của Nghị định số 188/2025/NĐ-CP ngày 01 tháng 7 năm 2025 của Chính phủ).</w:t>
            </w:r>
          </w:p>
        </w:tc>
        <w:tc>
          <w:tcPr>
            <w:tcW w:w="0" w:type="auto"/>
          </w:tcPr>
          <w:p w14:paraId="54F4DEDF" w14:textId="77777777" w:rsidR="004A2CC4" w:rsidRDefault="004A2CC4"/>
        </w:tc>
        <w:tc>
          <w:tcPr>
            <w:tcW w:w="0" w:type="auto"/>
          </w:tcPr>
          <w:p w14:paraId="5116E29C" w14:textId="77777777" w:rsidR="004A2CC4" w:rsidRDefault="004A2CC4"/>
          <w:p w14:paraId="76004D17"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0E285691" w14:textId="77777777">
        <w:tblPrEx>
          <w:tblCellMar>
            <w:top w:w="0" w:type="dxa"/>
            <w:bottom w:w="0" w:type="dxa"/>
          </w:tblCellMar>
        </w:tblPrEx>
        <w:tc>
          <w:tcPr>
            <w:tcW w:w="0" w:type="auto"/>
          </w:tcPr>
          <w:p w14:paraId="31FDABA1" w14:textId="77777777" w:rsidR="004A2CC4" w:rsidRDefault="004A2CC4"/>
          <w:p w14:paraId="6BAE15F4" w14:textId="77777777" w:rsidR="004A2CC4" w:rsidRDefault="003615C6">
            <w:pPr>
              <w:spacing w:after="0" w:line="276" w:lineRule="auto"/>
            </w:pPr>
            <w:r>
              <w:rPr>
                <w:rFonts w:ascii="Times New Roman" w:eastAsia="Times New Roman" w:hAnsi="Times New Roman" w:cs="Times New Roman"/>
                <w:sz w:val="26"/>
              </w:rPr>
              <w:t>Bản chụp (có dấu treo của cơ sở khám bệnh, chữa bệnh) của giấy ra viện hoặc phiếu khám bệnh hoặc sổ khám bệnh của lần khám bệnh, chữa bệnh đề nghị thanh toán</w:t>
            </w:r>
          </w:p>
        </w:tc>
        <w:tc>
          <w:tcPr>
            <w:tcW w:w="0" w:type="auto"/>
          </w:tcPr>
          <w:p w14:paraId="108D2303" w14:textId="77777777" w:rsidR="004A2CC4" w:rsidRDefault="004A2CC4"/>
        </w:tc>
        <w:tc>
          <w:tcPr>
            <w:tcW w:w="0" w:type="auto"/>
          </w:tcPr>
          <w:p w14:paraId="1184D6D3" w14:textId="77777777" w:rsidR="004A2CC4" w:rsidRDefault="004A2CC4"/>
          <w:p w14:paraId="303220FD"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134CAAD0" w14:textId="77777777">
        <w:tblPrEx>
          <w:tblCellMar>
            <w:top w:w="0" w:type="dxa"/>
            <w:bottom w:w="0" w:type="dxa"/>
          </w:tblCellMar>
        </w:tblPrEx>
        <w:tc>
          <w:tcPr>
            <w:tcW w:w="0" w:type="auto"/>
          </w:tcPr>
          <w:p w14:paraId="3C8DA52F" w14:textId="77777777" w:rsidR="004A2CC4" w:rsidRDefault="004A2CC4"/>
          <w:p w14:paraId="2106D1DF" w14:textId="77777777" w:rsidR="004A2CC4" w:rsidRDefault="003615C6">
            <w:pPr>
              <w:spacing w:after="0" w:line="276" w:lineRule="auto"/>
            </w:pPr>
            <w:r>
              <w:rPr>
                <w:rFonts w:ascii="Times New Roman" w:eastAsia="Times New Roman" w:hAnsi="Times New Roman" w:cs="Times New Roman"/>
                <w:sz w:val="26"/>
              </w:rPr>
              <w:t>Hóa đơn và bảng kê chi phí</w:t>
            </w:r>
          </w:p>
        </w:tc>
        <w:tc>
          <w:tcPr>
            <w:tcW w:w="0" w:type="auto"/>
          </w:tcPr>
          <w:p w14:paraId="1DAE0AAA" w14:textId="77777777" w:rsidR="004A2CC4" w:rsidRDefault="004A2CC4"/>
        </w:tc>
        <w:tc>
          <w:tcPr>
            <w:tcW w:w="0" w:type="auto"/>
          </w:tcPr>
          <w:p w14:paraId="38DBED81" w14:textId="77777777" w:rsidR="004A2CC4" w:rsidRDefault="004A2CC4"/>
          <w:p w14:paraId="68334E38"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6CE5AFAF" w14:textId="77777777">
        <w:tblPrEx>
          <w:tblCellMar>
            <w:top w:w="0" w:type="dxa"/>
            <w:bottom w:w="0" w:type="dxa"/>
          </w:tblCellMar>
        </w:tblPrEx>
        <w:tc>
          <w:tcPr>
            <w:tcW w:w="0" w:type="auto"/>
          </w:tcPr>
          <w:p w14:paraId="7F41B9B0" w14:textId="77777777" w:rsidR="004A2CC4" w:rsidRDefault="004A2CC4"/>
          <w:p w14:paraId="177D83C2" w14:textId="77777777" w:rsidR="004A2CC4" w:rsidRDefault="003615C6">
            <w:pPr>
              <w:spacing w:after="0" w:line="276" w:lineRule="auto"/>
            </w:pPr>
            <w:r>
              <w:rPr>
                <w:rFonts w:ascii="Times New Roman" w:eastAsia="Times New Roman" w:hAnsi="Times New Roman" w:cs="Times New Roman"/>
                <w:sz w:val="26"/>
              </w:rPr>
              <w:t>Phiếu chỉ định thiết bị y tế cho người bệnh trong trường hợp chỉ định thiết bị y tế (đối với trường hợp đề nghị thanh toán trực tiếp khi người bệnh tự mua thuốc, thiết bị y tế)</w:t>
            </w:r>
          </w:p>
        </w:tc>
        <w:tc>
          <w:tcPr>
            <w:tcW w:w="0" w:type="auto"/>
          </w:tcPr>
          <w:p w14:paraId="453475D4" w14:textId="77777777" w:rsidR="004A2CC4" w:rsidRDefault="004A2CC4"/>
        </w:tc>
        <w:tc>
          <w:tcPr>
            <w:tcW w:w="0" w:type="auto"/>
          </w:tcPr>
          <w:p w14:paraId="08992361" w14:textId="77777777" w:rsidR="004A2CC4" w:rsidRDefault="004A2CC4"/>
          <w:p w14:paraId="75EF0026"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2F36B7DD" w14:textId="77777777">
        <w:tblPrEx>
          <w:tblCellMar>
            <w:top w:w="0" w:type="dxa"/>
            <w:bottom w:w="0" w:type="dxa"/>
          </w:tblCellMar>
        </w:tblPrEx>
        <w:tc>
          <w:tcPr>
            <w:tcW w:w="0" w:type="auto"/>
          </w:tcPr>
          <w:p w14:paraId="4291AC68" w14:textId="77777777" w:rsidR="004A2CC4" w:rsidRDefault="004A2CC4"/>
          <w:p w14:paraId="698FF7E8" w14:textId="77777777" w:rsidR="004A2CC4" w:rsidRDefault="003615C6">
            <w:pPr>
              <w:spacing w:after="0" w:line="276" w:lineRule="auto"/>
            </w:pPr>
            <w:r>
              <w:rPr>
                <w:rFonts w:ascii="Times New Roman" w:eastAsia="Times New Roman" w:hAnsi="Times New Roman" w:cs="Times New Roman"/>
                <w:sz w:val="26"/>
              </w:rPr>
              <w:t>Phiếu xác nhận tình trạng thiếu thuốc, thiết bị y tế theo quy định tại Mẫu số 11 Phụ lục ban hành kèm theo Nghị định số 188/2025/NĐ-CP của Chính phủ (cơ sở khám bệnh, chữa bệnh cấp cho người bệnh đối với trường hợp đề nghị thanh toán trực tiếp khi người bệnh tự mua thuốc, thiết bị y tế)</w:t>
            </w:r>
          </w:p>
        </w:tc>
        <w:tc>
          <w:tcPr>
            <w:tcW w:w="0" w:type="auto"/>
          </w:tcPr>
          <w:p w14:paraId="53266F39" w14:textId="77777777" w:rsidR="004A2CC4" w:rsidRDefault="004A2CC4"/>
          <w:p w14:paraId="0485C5C9" w14:textId="77777777" w:rsidR="004A2CC4" w:rsidRDefault="003615C6">
            <w:pPr>
              <w:spacing w:after="0" w:line="276" w:lineRule="auto"/>
            </w:pPr>
            <w:r>
              <w:rPr>
                <w:rFonts w:ascii="Times New Roman" w:eastAsia="Times New Roman" w:hAnsi="Times New Roman" w:cs="Times New Roman"/>
                <w:sz w:val="26"/>
              </w:rPr>
              <w:t>Mus11.docx</w:t>
            </w:r>
          </w:p>
        </w:tc>
        <w:tc>
          <w:tcPr>
            <w:tcW w:w="0" w:type="auto"/>
          </w:tcPr>
          <w:p w14:paraId="1B016EF6" w14:textId="77777777" w:rsidR="004A2CC4" w:rsidRDefault="004A2CC4"/>
          <w:p w14:paraId="210A9D06"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2CC4" w14:paraId="1D89D65E" w14:textId="77777777">
        <w:tblPrEx>
          <w:tblCellMar>
            <w:top w:w="0" w:type="dxa"/>
            <w:bottom w:w="0" w:type="dxa"/>
          </w:tblCellMar>
        </w:tblPrEx>
        <w:tc>
          <w:tcPr>
            <w:tcW w:w="0" w:type="auto"/>
          </w:tcPr>
          <w:p w14:paraId="6138541A" w14:textId="77777777" w:rsidR="004A2CC4" w:rsidRDefault="004A2CC4"/>
          <w:p w14:paraId="48FF59D6" w14:textId="77777777" w:rsidR="004A2CC4" w:rsidRDefault="003615C6">
            <w:pPr>
              <w:spacing w:after="0" w:line="276" w:lineRule="auto"/>
            </w:pPr>
            <w:r>
              <w:rPr>
                <w:rFonts w:ascii="Times New Roman" w:eastAsia="Times New Roman" w:hAnsi="Times New Roman" w:cs="Times New Roman"/>
                <w:sz w:val="26"/>
              </w:rPr>
              <w:t>Bảng kê chi phí xác định số tiền người bệnh đã thanh toán cho cơ sở khám bệnh, chữa bệnh kèm theo hoá đơn hợp pháp (do cơ sở khám bệnh, chữa bệnh cung cấp đối với đề nghị thanh toán chi phí khám bệnh, chữa bệnh bảo hiểm y tế cho người lao động trong trường hợp cơ quan, tổ chức, người sử dụng lao động chậm đóng, trốn đóng bảo hiểm y tế)</w:t>
            </w:r>
          </w:p>
        </w:tc>
        <w:tc>
          <w:tcPr>
            <w:tcW w:w="0" w:type="auto"/>
          </w:tcPr>
          <w:p w14:paraId="07265245" w14:textId="77777777" w:rsidR="004A2CC4" w:rsidRDefault="004A2CC4"/>
        </w:tc>
        <w:tc>
          <w:tcPr>
            <w:tcW w:w="0" w:type="auto"/>
          </w:tcPr>
          <w:p w14:paraId="642EC747" w14:textId="77777777" w:rsidR="004A2CC4" w:rsidRDefault="004A2CC4"/>
          <w:p w14:paraId="719FE10E" w14:textId="77777777" w:rsidR="004A2CC4" w:rsidRDefault="003615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BF1866D" w14:textId="77777777" w:rsidR="004A2CC4" w:rsidRDefault="003615C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0BBED8DF" w14:textId="77777777" w:rsidR="004A2CC4" w:rsidRDefault="003615C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w:t>
      </w:r>
    </w:p>
    <w:p w14:paraId="33928B40" w14:textId="77777777" w:rsidR="004A2CC4" w:rsidRDefault="003615C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7F4DE7C" w14:textId="77777777" w:rsidR="004A2CC4" w:rsidRDefault="003615C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807F26C" w14:textId="77777777" w:rsidR="004A2CC4" w:rsidRDefault="003615C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3EBD5A0" w14:textId="77777777" w:rsidR="004A2CC4" w:rsidRDefault="003615C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6F4467" w14:textId="77777777" w:rsidR="004A2CC4" w:rsidRDefault="003615C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Người bệnh hoặc thân nhân của người bệnh nhận được chi phí thanh toán trực tiếp bằng tiền mặt hoặc chuyển khoản theo số tài khoản của người bệnh được cung cấp tại văn bản đề nghị thanh toán trực tiếp</w:t>
      </w:r>
    </w:p>
    <w:p w14:paraId="5C9FDEC2" w14:textId="77777777" w:rsidR="004A2CC4" w:rsidRDefault="003615C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0"/>
        <w:gridCol w:w="5329"/>
        <w:gridCol w:w="899"/>
        <w:gridCol w:w="1437"/>
      </w:tblGrid>
      <w:tr w:rsidR="004A2CC4" w14:paraId="5FA998B8" w14:textId="77777777">
        <w:tblPrEx>
          <w:tblCellMar>
            <w:top w:w="0" w:type="dxa"/>
            <w:bottom w:w="0" w:type="dxa"/>
          </w:tblCellMar>
        </w:tblPrEx>
        <w:tc>
          <w:tcPr>
            <w:tcW w:w="2000" w:type="dxa"/>
          </w:tcPr>
          <w:p w14:paraId="7C31B348" w14:textId="77777777" w:rsidR="004A2CC4" w:rsidRDefault="004A2CC4"/>
          <w:p w14:paraId="19B7C632" w14:textId="77777777" w:rsidR="004A2CC4" w:rsidRDefault="003615C6">
            <w:pPr>
              <w:spacing w:after="0" w:line="276" w:lineRule="auto"/>
              <w:jc w:val="center"/>
            </w:pPr>
            <w:r>
              <w:rPr>
                <w:rFonts w:ascii="Times New Roman" w:eastAsia="Times New Roman" w:hAnsi="Times New Roman" w:cs="Times New Roman"/>
                <w:b/>
                <w:sz w:val="26"/>
              </w:rPr>
              <w:t>Số ký hiệu</w:t>
            </w:r>
          </w:p>
        </w:tc>
        <w:tc>
          <w:tcPr>
            <w:tcW w:w="3500" w:type="dxa"/>
          </w:tcPr>
          <w:p w14:paraId="3A3B3B84" w14:textId="77777777" w:rsidR="004A2CC4" w:rsidRDefault="004A2CC4"/>
          <w:p w14:paraId="0D66F825" w14:textId="77777777" w:rsidR="004A2CC4" w:rsidRDefault="003615C6">
            <w:pPr>
              <w:spacing w:after="0" w:line="276" w:lineRule="auto"/>
              <w:jc w:val="center"/>
            </w:pPr>
            <w:r>
              <w:rPr>
                <w:rFonts w:ascii="Times New Roman" w:eastAsia="Times New Roman" w:hAnsi="Times New Roman" w:cs="Times New Roman"/>
                <w:b/>
                <w:sz w:val="26"/>
              </w:rPr>
              <w:t>Trích yếu</w:t>
            </w:r>
          </w:p>
        </w:tc>
        <w:tc>
          <w:tcPr>
            <w:tcW w:w="1500" w:type="dxa"/>
          </w:tcPr>
          <w:p w14:paraId="424A57F7" w14:textId="77777777" w:rsidR="004A2CC4" w:rsidRDefault="004A2CC4"/>
          <w:p w14:paraId="391D853C" w14:textId="77777777" w:rsidR="004A2CC4" w:rsidRDefault="003615C6">
            <w:pPr>
              <w:spacing w:after="0" w:line="276" w:lineRule="auto"/>
              <w:jc w:val="center"/>
            </w:pPr>
            <w:r>
              <w:rPr>
                <w:rFonts w:ascii="Times New Roman" w:eastAsia="Times New Roman" w:hAnsi="Times New Roman" w:cs="Times New Roman"/>
                <w:b/>
                <w:sz w:val="26"/>
              </w:rPr>
              <w:t>Ngày ban hành</w:t>
            </w:r>
          </w:p>
        </w:tc>
        <w:tc>
          <w:tcPr>
            <w:tcW w:w="3000" w:type="dxa"/>
          </w:tcPr>
          <w:p w14:paraId="3C8D14DB" w14:textId="77777777" w:rsidR="004A2CC4" w:rsidRDefault="004A2CC4"/>
          <w:p w14:paraId="0B65E908" w14:textId="77777777" w:rsidR="004A2CC4" w:rsidRDefault="003615C6">
            <w:pPr>
              <w:spacing w:after="0" w:line="276" w:lineRule="auto"/>
              <w:jc w:val="center"/>
            </w:pPr>
            <w:r>
              <w:rPr>
                <w:rFonts w:ascii="Times New Roman" w:eastAsia="Times New Roman" w:hAnsi="Times New Roman" w:cs="Times New Roman"/>
                <w:b/>
                <w:sz w:val="26"/>
              </w:rPr>
              <w:t>Cơ quan ban hành</w:t>
            </w:r>
          </w:p>
        </w:tc>
      </w:tr>
      <w:tr w:rsidR="004A2CC4" w14:paraId="5CD49785" w14:textId="77777777">
        <w:tblPrEx>
          <w:tblCellMar>
            <w:top w:w="0" w:type="dxa"/>
            <w:bottom w:w="0" w:type="dxa"/>
          </w:tblCellMar>
        </w:tblPrEx>
        <w:tc>
          <w:tcPr>
            <w:tcW w:w="0" w:type="auto"/>
          </w:tcPr>
          <w:p w14:paraId="0854A942" w14:textId="77777777" w:rsidR="004A2CC4" w:rsidRDefault="004A2CC4"/>
          <w:p w14:paraId="32EDF75C" w14:textId="77777777" w:rsidR="004A2CC4" w:rsidRDefault="003615C6">
            <w:pPr>
              <w:spacing w:after="0" w:line="276" w:lineRule="auto"/>
            </w:pPr>
            <w:r>
              <w:rPr>
                <w:rFonts w:ascii="Times New Roman" w:eastAsia="Times New Roman" w:hAnsi="Times New Roman" w:cs="Times New Roman"/>
                <w:sz w:val="26"/>
              </w:rPr>
              <w:t>Luật 46/2014/QH13</w:t>
            </w:r>
          </w:p>
        </w:tc>
        <w:tc>
          <w:tcPr>
            <w:tcW w:w="0" w:type="auto"/>
          </w:tcPr>
          <w:p w14:paraId="6E37489B" w14:textId="77777777" w:rsidR="004A2CC4" w:rsidRDefault="004A2CC4"/>
          <w:p w14:paraId="59E94763" w14:textId="77777777" w:rsidR="004A2CC4" w:rsidRDefault="003615C6">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14:paraId="65647C27" w14:textId="77777777" w:rsidR="004A2CC4" w:rsidRDefault="004A2CC4"/>
          <w:p w14:paraId="5AFBC02E" w14:textId="77777777" w:rsidR="004A2CC4" w:rsidRDefault="003615C6">
            <w:pPr>
              <w:spacing w:after="0" w:line="276" w:lineRule="auto"/>
            </w:pPr>
            <w:r>
              <w:rPr>
                <w:rFonts w:ascii="Times New Roman" w:eastAsia="Times New Roman" w:hAnsi="Times New Roman" w:cs="Times New Roman"/>
                <w:sz w:val="26"/>
              </w:rPr>
              <w:t>13-06-2014</w:t>
            </w:r>
          </w:p>
        </w:tc>
        <w:tc>
          <w:tcPr>
            <w:tcW w:w="0" w:type="auto"/>
          </w:tcPr>
          <w:p w14:paraId="070880A7" w14:textId="77777777" w:rsidR="004A2CC4" w:rsidRDefault="004A2CC4"/>
          <w:p w14:paraId="6C3C3545" w14:textId="77777777" w:rsidR="004A2CC4" w:rsidRDefault="003615C6">
            <w:pPr>
              <w:spacing w:after="0" w:line="276" w:lineRule="auto"/>
            </w:pPr>
            <w:r>
              <w:rPr>
                <w:rFonts w:ascii="Times New Roman" w:eastAsia="Times New Roman" w:hAnsi="Times New Roman" w:cs="Times New Roman"/>
                <w:sz w:val="26"/>
              </w:rPr>
              <w:t>Quốc Hội</w:t>
            </w:r>
          </w:p>
        </w:tc>
      </w:tr>
      <w:tr w:rsidR="004A2CC4" w14:paraId="52A472C3" w14:textId="77777777">
        <w:tblPrEx>
          <w:tblCellMar>
            <w:top w:w="0" w:type="dxa"/>
            <w:bottom w:w="0" w:type="dxa"/>
          </w:tblCellMar>
        </w:tblPrEx>
        <w:tc>
          <w:tcPr>
            <w:tcW w:w="0" w:type="auto"/>
          </w:tcPr>
          <w:p w14:paraId="62C5A21B" w14:textId="77777777" w:rsidR="004A2CC4" w:rsidRDefault="004A2CC4"/>
          <w:p w14:paraId="52E8C903" w14:textId="77777777" w:rsidR="004A2CC4" w:rsidRDefault="003615C6">
            <w:pPr>
              <w:spacing w:after="0" w:line="276" w:lineRule="auto"/>
            </w:pPr>
            <w:r>
              <w:rPr>
                <w:rFonts w:ascii="Times New Roman" w:eastAsia="Times New Roman" w:hAnsi="Times New Roman" w:cs="Times New Roman"/>
                <w:sz w:val="26"/>
              </w:rPr>
              <w:t>25/2008/QH12</w:t>
            </w:r>
          </w:p>
        </w:tc>
        <w:tc>
          <w:tcPr>
            <w:tcW w:w="0" w:type="auto"/>
          </w:tcPr>
          <w:p w14:paraId="477464D0" w14:textId="77777777" w:rsidR="004A2CC4" w:rsidRDefault="004A2CC4"/>
          <w:p w14:paraId="574C488B" w14:textId="77777777" w:rsidR="004A2CC4" w:rsidRDefault="003615C6">
            <w:pPr>
              <w:spacing w:after="0" w:line="276" w:lineRule="auto"/>
            </w:pPr>
            <w:r>
              <w:rPr>
                <w:rFonts w:ascii="Times New Roman" w:eastAsia="Times New Roman" w:hAnsi="Times New Roman" w:cs="Times New Roman"/>
                <w:sz w:val="26"/>
              </w:rPr>
              <w:t>Luật 25/2008/QH12</w:t>
            </w:r>
          </w:p>
        </w:tc>
        <w:tc>
          <w:tcPr>
            <w:tcW w:w="0" w:type="auto"/>
          </w:tcPr>
          <w:p w14:paraId="2487D331" w14:textId="77777777" w:rsidR="004A2CC4" w:rsidRDefault="004A2CC4"/>
          <w:p w14:paraId="09BDB859" w14:textId="77777777" w:rsidR="004A2CC4" w:rsidRDefault="003615C6">
            <w:pPr>
              <w:spacing w:after="0" w:line="276" w:lineRule="auto"/>
            </w:pPr>
            <w:r>
              <w:rPr>
                <w:rFonts w:ascii="Times New Roman" w:eastAsia="Times New Roman" w:hAnsi="Times New Roman" w:cs="Times New Roman"/>
                <w:sz w:val="26"/>
              </w:rPr>
              <w:t>14-11-2008</w:t>
            </w:r>
          </w:p>
        </w:tc>
        <w:tc>
          <w:tcPr>
            <w:tcW w:w="0" w:type="auto"/>
          </w:tcPr>
          <w:p w14:paraId="4E55F4FD" w14:textId="77777777" w:rsidR="004A2CC4" w:rsidRDefault="004A2CC4"/>
        </w:tc>
      </w:tr>
      <w:tr w:rsidR="004A2CC4" w14:paraId="42756750" w14:textId="77777777">
        <w:tblPrEx>
          <w:tblCellMar>
            <w:top w:w="0" w:type="dxa"/>
            <w:bottom w:w="0" w:type="dxa"/>
          </w:tblCellMar>
        </w:tblPrEx>
        <w:tc>
          <w:tcPr>
            <w:tcW w:w="0" w:type="auto"/>
          </w:tcPr>
          <w:p w14:paraId="09D38F6A" w14:textId="77777777" w:rsidR="004A2CC4" w:rsidRDefault="004A2CC4"/>
          <w:p w14:paraId="1431908E" w14:textId="77777777" w:rsidR="004A2CC4" w:rsidRDefault="003615C6">
            <w:pPr>
              <w:spacing w:after="0" w:line="276" w:lineRule="auto"/>
            </w:pPr>
            <w:r>
              <w:rPr>
                <w:rFonts w:ascii="Times New Roman" w:eastAsia="Times New Roman" w:hAnsi="Times New Roman" w:cs="Times New Roman"/>
                <w:sz w:val="26"/>
              </w:rPr>
              <w:t>51/2024/QH15</w:t>
            </w:r>
          </w:p>
        </w:tc>
        <w:tc>
          <w:tcPr>
            <w:tcW w:w="0" w:type="auto"/>
          </w:tcPr>
          <w:p w14:paraId="4C835028" w14:textId="77777777" w:rsidR="004A2CC4" w:rsidRDefault="004A2CC4"/>
          <w:p w14:paraId="64A6EDB0" w14:textId="77777777" w:rsidR="004A2CC4" w:rsidRDefault="003615C6">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14:paraId="72F96D00" w14:textId="77777777" w:rsidR="004A2CC4" w:rsidRDefault="004A2CC4"/>
          <w:p w14:paraId="65D780B3" w14:textId="77777777" w:rsidR="004A2CC4" w:rsidRDefault="003615C6">
            <w:pPr>
              <w:spacing w:after="0" w:line="276" w:lineRule="auto"/>
            </w:pPr>
            <w:r>
              <w:rPr>
                <w:rFonts w:ascii="Times New Roman" w:eastAsia="Times New Roman" w:hAnsi="Times New Roman" w:cs="Times New Roman"/>
                <w:sz w:val="26"/>
              </w:rPr>
              <w:t>27-11-2024</w:t>
            </w:r>
          </w:p>
        </w:tc>
        <w:tc>
          <w:tcPr>
            <w:tcW w:w="0" w:type="auto"/>
          </w:tcPr>
          <w:p w14:paraId="17713BDB" w14:textId="77777777" w:rsidR="004A2CC4" w:rsidRDefault="004A2CC4"/>
          <w:p w14:paraId="6E11F874" w14:textId="77777777" w:rsidR="004A2CC4" w:rsidRDefault="003615C6">
            <w:pPr>
              <w:spacing w:after="0" w:line="276" w:lineRule="auto"/>
            </w:pPr>
            <w:r>
              <w:rPr>
                <w:rFonts w:ascii="Times New Roman" w:eastAsia="Times New Roman" w:hAnsi="Times New Roman" w:cs="Times New Roman"/>
                <w:sz w:val="26"/>
              </w:rPr>
              <w:t>Quốc Hội</w:t>
            </w:r>
          </w:p>
        </w:tc>
      </w:tr>
      <w:tr w:rsidR="004A2CC4" w14:paraId="02323690" w14:textId="77777777">
        <w:tblPrEx>
          <w:tblCellMar>
            <w:top w:w="0" w:type="dxa"/>
            <w:bottom w:w="0" w:type="dxa"/>
          </w:tblCellMar>
        </w:tblPrEx>
        <w:tc>
          <w:tcPr>
            <w:tcW w:w="0" w:type="auto"/>
          </w:tcPr>
          <w:p w14:paraId="2D093491" w14:textId="77777777" w:rsidR="004A2CC4" w:rsidRDefault="004A2CC4"/>
          <w:p w14:paraId="5532639C" w14:textId="77777777" w:rsidR="004A2CC4" w:rsidRDefault="003615C6">
            <w:pPr>
              <w:spacing w:after="0" w:line="276" w:lineRule="auto"/>
            </w:pPr>
            <w:r>
              <w:rPr>
                <w:rFonts w:ascii="Times New Roman" w:eastAsia="Times New Roman" w:hAnsi="Times New Roman" w:cs="Times New Roman"/>
                <w:sz w:val="26"/>
              </w:rPr>
              <w:t>188/2025/NĐ-CP</w:t>
            </w:r>
          </w:p>
        </w:tc>
        <w:tc>
          <w:tcPr>
            <w:tcW w:w="0" w:type="auto"/>
          </w:tcPr>
          <w:p w14:paraId="092435B6" w14:textId="77777777" w:rsidR="004A2CC4" w:rsidRDefault="004A2CC4"/>
          <w:p w14:paraId="4D2D3905" w14:textId="77777777" w:rsidR="004A2CC4" w:rsidRDefault="003615C6">
            <w:pPr>
              <w:spacing w:after="0" w:line="276" w:lineRule="auto"/>
            </w:pPr>
            <w:r>
              <w:rPr>
                <w:rFonts w:ascii="Times New Roman" w:eastAsia="Times New Roman" w:hAnsi="Times New Roman" w:cs="Times New Roman"/>
                <w:sz w:val="26"/>
              </w:rPr>
              <w:t>Nghị định quy định chi tiết và hướng dẫn thi hành một số điều của Luật Bảo hiểm y tế (188/2025/NĐ-CP ngày 01/7/2025)</w:t>
            </w:r>
          </w:p>
        </w:tc>
        <w:tc>
          <w:tcPr>
            <w:tcW w:w="0" w:type="auto"/>
          </w:tcPr>
          <w:p w14:paraId="5AF14D9B" w14:textId="77777777" w:rsidR="004A2CC4" w:rsidRDefault="004A2CC4"/>
          <w:p w14:paraId="763B1683" w14:textId="77777777" w:rsidR="004A2CC4" w:rsidRDefault="003615C6">
            <w:pPr>
              <w:spacing w:after="0" w:line="276" w:lineRule="auto"/>
            </w:pPr>
            <w:r>
              <w:rPr>
                <w:rFonts w:ascii="Times New Roman" w:eastAsia="Times New Roman" w:hAnsi="Times New Roman" w:cs="Times New Roman"/>
                <w:sz w:val="26"/>
              </w:rPr>
              <w:t>01-07-2025</w:t>
            </w:r>
          </w:p>
        </w:tc>
        <w:tc>
          <w:tcPr>
            <w:tcW w:w="0" w:type="auto"/>
          </w:tcPr>
          <w:p w14:paraId="53DB8C4F" w14:textId="77777777" w:rsidR="004A2CC4" w:rsidRDefault="004A2CC4"/>
          <w:p w14:paraId="28A2A21F" w14:textId="77777777" w:rsidR="004A2CC4" w:rsidRDefault="003615C6">
            <w:pPr>
              <w:spacing w:after="0" w:line="276" w:lineRule="auto"/>
            </w:pPr>
            <w:r>
              <w:rPr>
                <w:rFonts w:ascii="Times New Roman" w:eastAsia="Times New Roman" w:hAnsi="Times New Roman" w:cs="Times New Roman"/>
                <w:sz w:val="26"/>
              </w:rPr>
              <w:t>Chính phủ</w:t>
            </w:r>
          </w:p>
        </w:tc>
      </w:tr>
    </w:tbl>
    <w:p w14:paraId="5B63E7BC" w14:textId="77777777" w:rsidR="004A2CC4" w:rsidRDefault="003615C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Cơ quan bảo hiểm xã hội thanh toán chi phí trực tiếp cho người tham gia bảo hiểm y tế theo phạm vi hưởng và mức hưởng theo quy định của pháp luật về bảo hiểm y tế trong các trường hợp theo quy định tại khoản 2 Điều 31 của Luật Bảo hiểm y tế và Điều 54 của Nghị định số 188/2025/NĐ-CP, cụ thể như sau: + Người tham gia bảo hiểm y tế khám bệnh, chữa bệnh tại cơ sở khám bệnh, chữa bệnh không có hợp đồng khám bệnh, chữa bệnh bảo hiểm y tế. + Người tham gia bảo hiểm y tế khám bệnh, chữa bệnh không đúng quy định </w:t>
      </w:r>
      <w:r>
        <w:rPr>
          <w:rFonts w:ascii="Times New Roman" w:eastAsia="Times New Roman" w:hAnsi="Times New Roman" w:cs="Times New Roman"/>
          <w:sz w:val="26"/>
        </w:rPr>
        <w:t>tại Điều 28 của Luật Bảo hiểm y tế. + Người bệnh trong tình trạng cấp cứu, mất ý thức hoặc tử vong nhưng chưa xuất trình được thẻ bảo hiểm y tế trước khi ra viện. + Người tham gia bảo hiểm y tế thuộc thẩm quyền quản lý của Bộ Quốc phòng, Bộ Công an bị mất thẻ bảo hiểm y tế nhưng chưa được cấp lại hoặc thông tin thẻ bảo hiểm y tế của người bệnh bị lỗi, sai lệch mà chưa được cơ quan bảo hiểm xã hội đính chính, sửa lại tại thời điểm kết thúc lượt khám bệnh, chữa bệnh, ra viện.  + Người tham gia bảo hiểm y tế t</w:t>
      </w:r>
      <w:r>
        <w:rPr>
          <w:rFonts w:ascii="Times New Roman" w:eastAsia="Times New Roman" w:hAnsi="Times New Roman" w:cs="Times New Roman"/>
          <w:sz w:val="26"/>
        </w:rPr>
        <w:t>huộc đối tượng do ngân sách nhà nước đóng bảo hiểm y tế nhưng chưa được cấp thẻ bảo hiểm y tế, trừ các trường hợp quy định tại khoản 1 Điều 50 của Nghị định số 188/2025/NĐ-CP. Người bệnh được thanh toán toàn bộ phần chi phí khám bệnh, chữa bệnh trong phạm vi được hưởng và mức hưởng kể từ ngày được xác định thuộc đối tượng do ngân sách nhà nước đóng nhưng chưa được thanh toán do chưa được cấp thẻ bảo hiểm y tế.  + Người bệnh vào cấp cứu tại cơ sở khám bệnh, chữa bệnh không có hợp đồng khám bệnh, chữa bệnh bả</w:t>
      </w:r>
      <w:r>
        <w:rPr>
          <w:rFonts w:ascii="Times New Roman" w:eastAsia="Times New Roman" w:hAnsi="Times New Roman" w:cs="Times New Roman"/>
          <w:sz w:val="26"/>
        </w:rPr>
        <w:t>o hiểm y tế. Người bệnh được thanh toán toàn bộ phần chi phí khám bệnh, chữa bệnh trong phạm vi được hưởng và mức hưởng chưa được thanh toán theo quy định của pháp luật về bảo hiểm y tế.  + Trường hợp khám bệnh, chữa bệnh bảo hiểm y tế đối với người đã thay đổi thuộc nhóm đối tượng có mức hưởng bảo hiểm y tế cao hơn nhưng chưa được cấp thẻ bảo hiểm y tế mới, cơ quan bảo hiểm xã hội thanh toán chi phí chênh lệch giữa hai mức hưởng trực tiếp cho người tham gia bảo hiểm y tế. + Trường hợp người bệnh tự mua thu</w:t>
      </w:r>
      <w:r>
        <w:rPr>
          <w:rFonts w:ascii="Times New Roman" w:eastAsia="Times New Roman" w:hAnsi="Times New Roman" w:cs="Times New Roman"/>
          <w:sz w:val="26"/>
        </w:rPr>
        <w:t>ốc, thiết bị y tế theo quy định tại các Điều 58 và 59 của Nghị định số 188/2025/NĐ-CP. Đối với đối tượng theo quy định tại các điểm a, b, c và đ khoản 3 Điều 12 của Luật Bảo hiểm y tế, việc thanh toán chi phí thuốc, thiết bị y tế thực hiện theo quy định tại Nghị định số 70/2015/NĐ-CP ngày 01 tháng 9 năm 2015 quy định chi tiết và hướng dẫn thi hành một số điều của Luật Bảo hiểm y tế đối với quân đội nhân dân, công an nhân dân và người làm công tác cơ yếu được sửa đổi, bổ sung bởi Nghị định số 74/2025/NĐ-CP n</w:t>
      </w:r>
      <w:r>
        <w:rPr>
          <w:rFonts w:ascii="Times New Roman" w:eastAsia="Times New Roman" w:hAnsi="Times New Roman" w:cs="Times New Roman"/>
          <w:sz w:val="26"/>
        </w:rPr>
        <w:t xml:space="preserve">gày 31 tháng 3 năm 2025 của Chính phủ. + Trường hợp người tham gia bảo hiểm y tế khám bệnh, chữa bệnh trong thời gian thẻ bị thu hồi, tạm giữ hoặc tạm khóa quy định mà không do lỗi của người tham gia bảo hiểm y tế, người bệnh được thanh toán toàn bộ phần chi phí khám bệnh, chữa bệnh trong phạm vi được hưởng và mức hưởng theo đúng đối tượng. - Thuốc, thiết bị y tế thuộc trường hợp được thanh toán trực tiếp cho người bệnh khi người bệnh tự mua: + Thuốc thuộc Danh mục thuốc hiếm theo quy định. + Thiết bị y tế </w:t>
      </w:r>
      <w:r>
        <w:rPr>
          <w:rFonts w:ascii="Times New Roman" w:eastAsia="Times New Roman" w:hAnsi="Times New Roman" w:cs="Times New Roman"/>
          <w:sz w:val="26"/>
        </w:rPr>
        <w:t xml:space="preserve">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và Nghị định số 07/2023/NĐ-CP ngày 03 tháng 3 năm 2023 của Chính phủ sửa đổi, bổ sung một số điều của Nghị định số 98/2021/NĐ-CP ngày 08 tháng 11 năm 2021 của Chính phủ về quản lý thiết bị y tế. </w:t>
      </w:r>
      <w:r>
        <w:rPr>
          <w:rFonts w:ascii="Times New Roman" w:eastAsia="Times New Roman" w:hAnsi="Times New Roman" w:cs="Times New Roman"/>
          <w:sz w:val="26"/>
        </w:rPr>
        <w:t>- Điều kiện thanh toán chi phí trực tiếp cho người bệnh trong trường hợp người bệnh tự mua thuốc, thiết bị y tế theo quy định tại Điều 59 của Nghị định số 188/2025/NĐ-CP. Tại thời điểm kê đơn, chỉ định thuốc, chỉ định sử dụng thiết bị y tế phải đáp ứng toàn bộ điều kiện theo quy định sau đây: (1) Tại thời điểm người bệnh được kê đơn, chỉ định, cơ sở khám bệnh, chữa bệnh không có sẵn thuốc, thiết bị y tế theo quy định tại điểm b khoản 2 Điều 43 của Nghị định số 188/2025/NĐ-CP và thuộc trường hợp quy định sau</w:t>
      </w:r>
      <w:r>
        <w:rPr>
          <w:rFonts w:ascii="Times New Roman" w:eastAsia="Times New Roman" w:hAnsi="Times New Roman" w:cs="Times New Roman"/>
          <w:sz w:val="26"/>
        </w:rPr>
        <w:t xml:space="preserve"> đây: + Đối với thuốc: không có thuốc thương mại nào chứa hoạt chất mà người bệnh được kê đơn hoặc cùng hoạt chất nhưng khác nồng độ hoặc hàm lượng hoặc dạng bào chế hoặc đường dùng và không thể thay thế để kê đơn cho người bệnh. + Đối với thiết bị y tế: không có thiết bị y tế mà người bệnh được chỉ định sử dụng và không có thiết bị y tế để thay thế. (2) Không thể chuyển người bệnh đến cơ sở khám bệnh, chữa bệnh khác thuộc một trong các trường hợp sau đây:  + Tình trạng sức khỏe, bệnh lý người bệnh được xác</w:t>
      </w:r>
      <w:r>
        <w:rPr>
          <w:rFonts w:ascii="Times New Roman" w:eastAsia="Times New Roman" w:hAnsi="Times New Roman" w:cs="Times New Roman"/>
          <w:sz w:val="26"/>
        </w:rPr>
        <w:t xml:space="preserve"> định không đủ điều kiện để chuyển. + Cơ sở khám bệnh, chữa bệnh nơi người bệnh đang khám và điều trị đang trong thời gian cách ly y tế theo quy định của pháp luật phòng, chống bệnh truyền nhiễm. + Cơ sở khám bệnh, chữa bệnh nơi người bệnh đang khám và điều trị là cơ sở khám bệnh, chữa bệnh cấp chuyên sâu hoặc cấp chuyên môn kỹ thuật cao nhất trên địa bàn tỉnh, thành phố trực thuộc trung ương. (3) Không thể điều chuyển thuốc, thiết bị y tế giữa các cơ sở khám bệnh, chữa bệnh.  (4) Thuốc, thiết bị y tế được </w:t>
      </w:r>
      <w:r>
        <w:rPr>
          <w:rFonts w:ascii="Times New Roman" w:eastAsia="Times New Roman" w:hAnsi="Times New Roman" w:cs="Times New Roman"/>
          <w:sz w:val="26"/>
        </w:rPr>
        <w:t>kê đơn, chỉ định sử dụng phải phù hợp với phạm vi chuyên môn của cơ sở khám bệnh, chữa bệnh và đã được thanh toán chi phí khám bệnh, chữa bệnh bảo hiểm y tế tại một trong các cơ sở khám bệnh, chữa bệnh trên toàn quốc. (5) Thuốc, thiết bị y tế được kê đơn, chỉ định sử dụng phải thuộc phạm vi quyền lợi của người tham gia bảo hiểm y tế. (6)  Cơ sở khám bệnh, chữa bệnh có trách nhiệm cung cấp phiếu xác nhận tình trạng thiếu thuốc, thiết bị y tế theo quy định cho người bệnh để làm cơ sở  thanh toán</w:t>
      </w:r>
    </w:p>
    <w:p w14:paraId="22BE04B2" w14:textId="77777777" w:rsidR="004A2CC4" w:rsidRDefault="003615C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EC6F2A2" w14:textId="77777777" w:rsidR="004A2CC4" w:rsidRDefault="003615C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https://thutuc.dichvucong.gov.vn/p/home/dvc-tthc-thu-tuc-hanh-chinh-chi-tiet.html?ma_thu_tuc=407225</w:t>
      </w:r>
    </w:p>
    <w:sectPr w:rsidR="004A2CC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2CC4"/>
    <w:rsid w:val="003615C6"/>
    <w:rsid w:val="004A2CC4"/>
    <w:rsid w:val="006D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CD28"/>
  <w15:docId w15:val="{D19798CF-AA0A-41FA-881E-CACC2B05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