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24E" w:rsidRDefault="004A4A4A">
      <w:pPr>
        <w:spacing w:after="300" w:line="276" w:lineRule="auto"/>
        <w:jc w:val="center"/>
      </w:pPr>
      <w:r>
        <w:rPr>
          <w:rFonts w:ascii="Times New Roman" w:eastAsia="Times New Roman" w:hAnsi="Times New Roman" w:cs="Times New Roman"/>
          <w:b/>
          <w:sz w:val="26"/>
        </w:rPr>
        <w:t>Chi tiết thủ tục hành chính</w:t>
      </w:r>
    </w:p>
    <w:p w:rsidR="004F624E" w:rsidRDefault="004A4A4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2.000552</w:t>
      </w:r>
    </w:p>
    <w:p w:rsidR="004F624E" w:rsidRDefault="004A4A4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3106/QĐ-BYT</w:t>
      </w:r>
    </w:p>
    <w:p w:rsidR="004F624E" w:rsidRDefault="004A4A4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hoạt động đối với trạm, điểm sơ cấp cứu chữ thập đỏ khi thay đổi địa điểm</w:t>
      </w:r>
    </w:p>
    <w:p w:rsidR="004F624E" w:rsidRDefault="004A4A4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4F624E" w:rsidRDefault="004A4A4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4F624E" w:rsidRDefault="004A4A4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4F624E" w:rsidRDefault="004A4A4A">
      <w:pPr>
        <w:spacing w:after="0" w:line="276" w:lineRule="auto"/>
        <w:jc w:val="both"/>
      </w:pPr>
      <w:r>
        <w:rPr>
          <w:rFonts w:ascii="Times New Roman" w:eastAsia="Times New Roman" w:hAnsi="Times New Roman" w:cs="Times New Roman"/>
          <w:b/>
          <w:sz w:val="26"/>
        </w:rPr>
        <w:t xml:space="preserve">Trình tự thực hiện: </w:t>
      </w:r>
    </w:p>
    <w:p w:rsidR="004F624E" w:rsidRDefault="004F624E">
      <w:pPr>
        <w:shd w:val="clear" w:color="auto" w:fill="F2F6F9"/>
        <w:spacing w:before="120" w:after="0" w:line="276" w:lineRule="auto"/>
        <w:jc w:val="both"/>
      </w:pPr>
    </w:p>
    <w:p w:rsidR="004F624E" w:rsidRDefault="004A4A4A">
      <w:pPr>
        <w:spacing w:after="0" w:line="276" w:lineRule="auto"/>
        <w:jc w:val="both"/>
      </w:pPr>
      <w:r>
        <w:rPr>
          <w:rFonts w:ascii="Times New Roman" w:eastAsia="Times New Roman" w:hAnsi="Times New Roman" w:cs="Times New Roman"/>
          <w:sz w:val="26"/>
        </w:rPr>
        <w:t>Bước 1: Trạm, điểm sơ cấp cứu chữ thập đỏ gửi hồ sơ đề nghị cấp lại Giấy phép hoạt động đến phòng y tế;</w:t>
      </w:r>
    </w:p>
    <w:p w:rsidR="004F624E" w:rsidRDefault="004A4A4A">
      <w:pPr>
        <w:spacing w:after="0" w:line="276" w:lineRule="auto"/>
        <w:jc w:val="both"/>
      </w:pPr>
      <w:r>
        <w:rPr>
          <w:rFonts w:ascii="Times New Roman" w:eastAsia="Times New Roman" w:hAnsi="Times New Roman" w:cs="Times New Roman"/>
          <w:sz w:val="26"/>
        </w:rPr>
        <w:t>Bước 2: Trong thời hạn 20 ngày làm việc, kể từ ngày nhận được hồ sơ hợp lệ, phòng y tế phải thành lập tổ thẩm định để tổ chức thẩm định và có biên bản thẩm định theo mẫu quy định tại Phụ lục số 3 ban hành kèm theo Thông tư số 17/2014/TT-BYT ngày 02/6/2014;</w:t>
      </w:r>
    </w:p>
    <w:p w:rsidR="004F624E" w:rsidRDefault="004A4A4A">
      <w:pPr>
        <w:spacing w:after="0" w:line="276" w:lineRule="auto"/>
        <w:jc w:val="both"/>
      </w:pPr>
      <w:r>
        <w:rPr>
          <w:rFonts w:ascii="Times New Roman" w:eastAsia="Times New Roman" w:hAnsi="Times New Roman" w:cs="Times New Roman"/>
          <w:sz w:val="26"/>
        </w:rPr>
        <w:t>Bước 3: Trong thời hạn 10 ngày làm việc, kể từ ngày nhận được hồ sơ của phòng y tế, Giám đốc Sở Y tế phải cấp lại giấy phép hoạt động cho trạm, điểm sơ cấp cứu chữ thập đỏ theo mẫu quy định tại Phụ lục số 4 ban hành kèm theo Thông tư này, trường hợp không đủ điều kiện cấp giấy phép phải trả lời bằng văn bản và nêu rõ lý do.</w:t>
      </w:r>
    </w:p>
    <w:p w:rsidR="004F624E" w:rsidRDefault="004A4A4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95"/>
        <w:gridCol w:w="1636"/>
        <w:gridCol w:w="2686"/>
        <w:gridCol w:w="3494"/>
      </w:tblGrid>
      <w:tr w:rsidR="004F624E">
        <w:tblPrEx>
          <w:tblCellMar>
            <w:top w:w="0" w:type="dxa"/>
            <w:bottom w:w="0" w:type="dxa"/>
          </w:tblCellMar>
        </w:tblPrEx>
        <w:tc>
          <w:tcPr>
            <w:tcW w:w="15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Hình thức nộp</w:t>
            </w:r>
          </w:p>
        </w:tc>
        <w:tc>
          <w:tcPr>
            <w:tcW w:w="20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Phí, lệ phí</w:t>
            </w:r>
          </w:p>
        </w:tc>
        <w:tc>
          <w:tcPr>
            <w:tcW w:w="30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Mô tả</w:t>
            </w:r>
          </w:p>
        </w:tc>
      </w:tr>
      <w:tr w:rsidR="004F624E">
        <w:tblPrEx>
          <w:tblCellMar>
            <w:top w:w="0" w:type="dxa"/>
            <w:bottom w:w="0" w:type="dxa"/>
          </w:tblCellMar>
        </w:tblPrEx>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Trực tiếp</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30 Ngày làm việc</w:t>
            </w:r>
          </w:p>
        </w:tc>
        <w:tc>
          <w:tcPr>
            <w:tcW w:w="0" w:type="auto"/>
          </w:tcPr>
          <w:p w:rsidR="004F624E" w:rsidRDefault="004F624E"/>
          <w:p w:rsidR="004F624E" w:rsidRDefault="004F624E">
            <w:pPr>
              <w:spacing w:after="0" w:line="276" w:lineRule="auto"/>
            </w:pP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30 ngày, kể từ ngày nhận được hồ sơ hợp lệ</w:t>
            </w:r>
          </w:p>
        </w:tc>
      </w:tr>
      <w:tr w:rsidR="004F624E">
        <w:tblPrEx>
          <w:tblCellMar>
            <w:top w:w="0" w:type="dxa"/>
            <w:bottom w:w="0" w:type="dxa"/>
          </w:tblCellMar>
        </w:tblPrEx>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Dịch vụ bưu chính</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30 Ngày làm việc</w:t>
            </w:r>
          </w:p>
        </w:tc>
        <w:tc>
          <w:tcPr>
            <w:tcW w:w="0" w:type="auto"/>
          </w:tcPr>
          <w:p w:rsidR="004F624E" w:rsidRDefault="004F624E"/>
          <w:p w:rsidR="004F624E" w:rsidRDefault="004F624E">
            <w:pPr>
              <w:spacing w:after="0" w:line="276" w:lineRule="auto"/>
            </w:pP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30 ngày, kể từ ngày nhận được hồ sơ hợp lệ</w:t>
            </w:r>
          </w:p>
        </w:tc>
      </w:tr>
    </w:tbl>
    <w:p w:rsidR="004F624E" w:rsidRDefault="004A4A4A">
      <w:pPr>
        <w:spacing w:before="240" w:after="0" w:line="276" w:lineRule="auto"/>
        <w:jc w:val="both"/>
      </w:pPr>
      <w:r>
        <w:rPr>
          <w:rFonts w:ascii="Times New Roman" w:eastAsia="Times New Roman" w:hAnsi="Times New Roman" w:cs="Times New Roman"/>
          <w:b/>
          <w:sz w:val="26"/>
        </w:rPr>
        <w:t xml:space="preserve">Thành phần hồ sơ: </w:t>
      </w:r>
    </w:p>
    <w:p w:rsidR="004F624E" w:rsidRDefault="004A4A4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94"/>
        <w:gridCol w:w="1081"/>
        <w:gridCol w:w="936"/>
      </w:tblGrid>
      <w:tr w:rsidR="004F624E">
        <w:tblPrEx>
          <w:tblCellMar>
            <w:top w:w="0" w:type="dxa"/>
            <w:bottom w:w="0" w:type="dxa"/>
          </w:tblCellMar>
        </w:tblPrEx>
        <w:tc>
          <w:tcPr>
            <w:tcW w:w="60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Tên giấy tờ</w:t>
            </w:r>
          </w:p>
        </w:tc>
        <w:tc>
          <w:tcPr>
            <w:tcW w:w="20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 xml:space="preserve">Mẫu </w:t>
            </w:r>
            <w:r>
              <w:rPr>
                <w:rFonts w:ascii="Times New Roman" w:eastAsia="Times New Roman" w:hAnsi="Times New Roman" w:cs="Times New Roman"/>
                <w:b/>
                <w:sz w:val="26"/>
              </w:rPr>
              <w:lastRenderedPageBreak/>
              <w:t>đơn, tờ khai</w:t>
            </w:r>
          </w:p>
        </w:tc>
        <w:tc>
          <w:tcPr>
            <w:tcW w:w="20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4F624E">
        <w:tblPrEx>
          <w:tblCellMar>
            <w:top w:w="0" w:type="dxa"/>
            <w:bottom w:w="0" w:type="dxa"/>
          </w:tblCellMar>
        </w:tblPrEx>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a. Đơn đề nghị cấp lại Giấy phép hoạt động đối với trạm, điểm sơ cấp cứu chữ thập đỏ theo Phụ lục số 2b ban hành kèm theo Thông tư số 17/2014/TT-BYT; b. Báo cáo bằng văn bản của trạm, điểm sơ cấp cứu về việc thay đổi địa điểm (Kèm theo Hợp đồng thuê địa điểm hoặc cam kết đồng ý cho mượn của chủ địa điểm hoặc người quản lý nơi đặt trạm, điểm sơ cấp cứu chữ thập đỏ);</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pl 2b.docx</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4F624E" w:rsidRDefault="004A4A4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4F624E" w:rsidRDefault="004A4A4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4F624E" w:rsidRDefault="004A4A4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Y tế các tỉnh, thành phố trực thuộc Trung ương</w:t>
      </w:r>
    </w:p>
    <w:p w:rsidR="004F624E" w:rsidRDefault="004A4A4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F624E" w:rsidRDefault="004A4A4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F624E" w:rsidRDefault="004A4A4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F624E" w:rsidRDefault="004A4A4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đối với cơ sở khám bệnh, chữa bệnh</w:t>
      </w:r>
    </w:p>
    <w:p w:rsidR="004F624E" w:rsidRDefault="004A4A4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88"/>
        <w:gridCol w:w="5579"/>
        <w:gridCol w:w="845"/>
        <w:gridCol w:w="1299"/>
      </w:tblGrid>
      <w:tr w:rsidR="004F624E">
        <w:tblPrEx>
          <w:tblCellMar>
            <w:top w:w="0" w:type="dxa"/>
            <w:bottom w:w="0" w:type="dxa"/>
          </w:tblCellMar>
        </w:tblPrEx>
        <w:tc>
          <w:tcPr>
            <w:tcW w:w="20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Số ký hiệu</w:t>
            </w:r>
          </w:p>
        </w:tc>
        <w:tc>
          <w:tcPr>
            <w:tcW w:w="35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Trích yếu</w:t>
            </w:r>
          </w:p>
        </w:tc>
        <w:tc>
          <w:tcPr>
            <w:tcW w:w="15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Ngày ban hành</w:t>
            </w:r>
          </w:p>
        </w:tc>
        <w:tc>
          <w:tcPr>
            <w:tcW w:w="3000" w:type="dxa"/>
          </w:tcPr>
          <w:p w:rsidR="004F624E" w:rsidRDefault="004F624E"/>
          <w:p w:rsidR="004F624E" w:rsidRDefault="004A4A4A">
            <w:pPr>
              <w:spacing w:after="0" w:line="276" w:lineRule="auto"/>
              <w:jc w:val="center"/>
            </w:pPr>
            <w:r>
              <w:rPr>
                <w:rFonts w:ascii="Times New Roman" w:eastAsia="Times New Roman" w:hAnsi="Times New Roman" w:cs="Times New Roman"/>
                <w:b/>
                <w:sz w:val="26"/>
              </w:rPr>
              <w:t>Cơ quan ban hành</w:t>
            </w:r>
          </w:p>
        </w:tc>
      </w:tr>
      <w:tr w:rsidR="004F624E">
        <w:tblPrEx>
          <w:tblCellMar>
            <w:top w:w="0" w:type="dxa"/>
            <w:bottom w:w="0" w:type="dxa"/>
          </w:tblCellMar>
        </w:tblPrEx>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11/2008/QH12</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Luật 11/2008/QH12-Hoạt động chữ thập đỏ</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03-06-2008</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Quốc Hội</w:t>
            </w:r>
          </w:p>
        </w:tc>
      </w:tr>
      <w:tr w:rsidR="004F624E">
        <w:tblPrEx>
          <w:tblCellMar>
            <w:top w:w="0" w:type="dxa"/>
            <w:bottom w:w="0" w:type="dxa"/>
          </w:tblCellMar>
        </w:tblPrEx>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03/2011/NĐ-CP</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Nghị định 03/2011/NĐ-CP-Quy định chi tiết và biện pháp thi hành Luật Hoạt động chữ thập đỏ</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07-01-2011</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Chính phủ</w:t>
            </w:r>
          </w:p>
        </w:tc>
      </w:tr>
      <w:tr w:rsidR="004F624E">
        <w:tblPrEx>
          <w:tblCellMar>
            <w:top w:w="0" w:type="dxa"/>
            <w:bottom w:w="0" w:type="dxa"/>
          </w:tblCellMar>
        </w:tblPrEx>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17/2014/TT-BYT</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Thông tư 17/2014/TT-BYT-Quy định việc cấp giấy phép hoạt động đối với trạm, điểm sơ cấp cứu chữ thập đỏ và việc huấn luyện sơ cấp cứu chữ thập đỏ</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02-06-2014</w:t>
            </w:r>
          </w:p>
        </w:tc>
        <w:tc>
          <w:tcPr>
            <w:tcW w:w="0" w:type="auto"/>
          </w:tcPr>
          <w:p w:rsidR="004F624E" w:rsidRDefault="004F624E"/>
          <w:p w:rsidR="004F624E" w:rsidRDefault="004A4A4A">
            <w:pPr>
              <w:spacing w:after="0" w:line="276" w:lineRule="auto"/>
            </w:pPr>
            <w:r>
              <w:rPr>
                <w:rFonts w:ascii="Times New Roman" w:eastAsia="Times New Roman" w:hAnsi="Times New Roman" w:cs="Times New Roman"/>
                <w:sz w:val="26"/>
              </w:rPr>
              <w:t>Bộ Y tế</w:t>
            </w:r>
          </w:p>
        </w:tc>
      </w:tr>
    </w:tbl>
    <w:p w:rsidR="004F624E" w:rsidRDefault="004A4A4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rsidR="004F624E" w:rsidRDefault="004A4A4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F624E" w:rsidRDefault="004A4A4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https://thutuc.dichvucong.gov.vn/p/home/dvc-tthc-thu-tuc-hanh-chinh-chi-tiet.html?ma_thu_tuc=1677</w:t>
      </w:r>
    </w:p>
    <w:sectPr w:rsidR="004F624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F624E"/>
    <w:rsid w:val="004A4A4A"/>
    <w:rsid w:val="004F624E"/>
    <w:rsid w:val="00722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FECAC2-7E8F-43A0-ADA4-D9A0AC449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2025-12-02T12:09:00Z</dcterms:created>
  <dcterms:modified xsi:type="dcterms:W3CDTF">2025-12-02T12:09:00Z</dcterms:modified>
</cp:coreProperties>
</file>