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23D9" w:rsidRDefault="00D01AFC">
      <w:pPr>
        <w:spacing w:after="300" w:line="276" w:lineRule="auto"/>
        <w:jc w:val="center"/>
      </w:pPr>
      <w:r>
        <w:rPr>
          <w:rFonts w:ascii="Times New Roman" w:eastAsia="Times New Roman" w:hAnsi="Times New Roman" w:cs="Times New Roman"/>
          <w:b/>
          <w:sz w:val="26"/>
        </w:rPr>
        <w:t>Chi tiết thủ tục hành chính</w:t>
      </w:r>
    </w:p>
    <w:p w:rsidR="001F23D9" w:rsidRDefault="00D01AF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2.000981</w:t>
      </w:r>
    </w:p>
    <w:p w:rsidR="001F23D9" w:rsidRDefault="00D01AF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4921/QĐ-BYT</w:t>
      </w:r>
    </w:p>
    <w:p w:rsidR="001F23D9" w:rsidRDefault="00D01AF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dịch y tế đối với hàng hóa</w:t>
      </w:r>
    </w:p>
    <w:p w:rsidR="001F23D9" w:rsidRDefault="00D01AF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1F23D9" w:rsidRDefault="00D01AF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1F23D9" w:rsidRDefault="00D01AF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1F23D9" w:rsidRDefault="00D01AFC">
      <w:pPr>
        <w:spacing w:after="0" w:line="276" w:lineRule="auto"/>
        <w:jc w:val="both"/>
      </w:pPr>
      <w:r>
        <w:rPr>
          <w:rFonts w:ascii="Times New Roman" w:eastAsia="Times New Roman" w:hAnsi="Times New Roman" w:cs="Times New Roman"/>
          <w:b/>
          <w:sz w:val="26"/>
        </w:rPr>
        <w:t xml:space="preserve">Trình tự thực hiện: </w:t>
      </w:r>
    </w:p>
    <w:p w:rsidR="001F23D9" w:rsidRDefault="001F23D9">
      <w:pPr>
        <w:shd w:val="clear" w:color="auto" w:fill="F2F6F9"/>
        <w:spacing w:before="120" w:after="0" w:line="276" w:lineRule="auto"/>
        <w:jc w:val="both"/>
      </w:pPr>
    </w:p>
    <w:p w:rsidR="001F23D9" w:rsidRDefault="00D01AFC">
      <w:pPr>
        <w:spacing w:after="0" w:line="276" w:lineRule="auto"/>
        <w:jc w:val="both"/>
      </w:pPr>
      <w:r>
        <w:rPr>
          <w:rFonts w:ascii="Times New Roman" w:eastAsia="Times New Roman" w:hAnsi="Times New Roman" w:cs="Times New Roman"/>
          <w:sz w:val="26"/>
        </w:rPr>
        <w:t xml:space="preserve"> Bước 1. Khai báo y tế đối với hàng hóa:  1. Đối với hàng hóa vận tải bằng đường bộ, đường sắt, đường hàng không: người khai báo y tế khai, nộp giấy khai báo y tế hàng hóa, giấy chứng nhận kiểm tra/xử lý y tế hàng hóa, phương tiện vận tải đường bộ, đường sắt, đường hàng không (nếu có) cho tổ chức kiểm dịch y tế biên giới hoặc qua Cổng thông tin một cửa quốc gia trước khi hàng hóa được phép nhập khẩu, xuất khẩu, quá cảnh.  2. Đối với hàng hóa vận tải bằng đường thủy: người khai báo y tế thực hiện khai, nộp b</w:t>
      </w:r>
      <w:r>
        <w:rPr>
          <w:rFonts w:ascii="Times New Roman" w:eastAsia="Times New Roman" w:hAnsi="Times New Roman" w:cs="Times New Roman"/>
          <w:sz w:val="26"/>
        </w:rPr>
        <w:t>ản sao bản khai hàng hóa và giấy chứng nhận kiểm tra y tế hàng hóa (trên tàu thuyền), tàu thuyền (nếu có) cho tổ chức kiểm dịch y tế biên giới hoặc qua Cổng thông tin một cửa quốc gia trước 12 giờ kể từ khi hàng hóa dự kiến nhập khẩu, xuất khẩu, quá cảnh.</w:t>
      </w:r>
    </w:p>
    <w:p w:rsidR="001F23D9" w:rsidRDefault="00D01AFC">
      <w:pPr>
        <w:spacing w:after="0" w:line="276" w:lineRule="auto"/>
        <w:jc w:val="both"/>
      </w:pPr>
      <w:r>
        <w:rPr>
          <w:rFonts w:ascii="Times New Roman" w:eastAsia="Times New Roman" w:hAnsi="Times New Roman" w:cs="Times New Roman"/>
          <w:sz w:val="26"/>
        </w:rPr>
        <w:t xml:space="preserve"> Bước 2. Thu thập thông tin trước khi hàng hóa vận chuyển qua biên giới  Các thông tin cần thu thập:  a) Thông tin về nơi hàng hóa xuất phát hoặc quá cảnh;  b) Thông tin về chủng loại, số lượng, bảo quản, đóng gói hàng hóa và phương tiện vận chuyển.</w:t>
      </w:r>
    </w:p>
    <w:p w:rsidR="001F23D9" w:rsidRDefault="00D01AFC">
      <w:pPr>
        <w:spacing w:after="0" w:line="276" w:lineRule="auto"/>
        <w:jc w:val="both"/>
      </w:pPr>
      <w:r>
        <w:rPr>
          <w:rFonts w:ascii="Times New Roman" w:eastAsia="Times New Roman" w:hAnsi="Times New Roman" w:cs="Times New Roman"/>
          <w:sz w:val="26"/>
        </w:rPr>
        <w:t xml:space="preserve"> Bước 3. Xử lý thông tin đối với hàng hóa  1. Kiểm dịch viên y tế thực hiện kiểm tra y tế đối với các hàng hóa có yếu tố nguy cơ bao gồm:  a) Hàng hóa vận chuyển qua quốc gia, vùng lãnh thổ có ghi nhận trường hợp bệnh truyền nhiễm mà Bộ Y tế có yêu cầu phải giám sát;  b) Hàng hóa mang hoặc có dấu hiệu mang mầm bệnh, trung gian truyền bệnh truyền nhiễm;  c) Hàng hóa vận chuyển bằng phương tiện có yếu tố nguy cơ:  - Phương tiện vận tải đi qua quốc gia, vùng lãnh thổ có ghi nhận trường hợp bệnh truyền nhiễm mà</w:t>
      </w:r>
      <w:r>
        <w:rPr>
          <w:rFonts w:ascii="Times New Roman" w:eastAsia="Times New Roman" w:hAnsi="Times New Roman" w:cs="Times New Roman"/>
          <w:sz w:val="26"/>
        </w:rPr>
        <w:t xml:space="preserve"> Bộ Y tế có yêu cầu phải giám sát;  - Phương tiện vận tải chở người bệnh hoặc người nghi ngờ mắc bệnh hoặc mang tác nhân gây bệnh truyền nhiễm;  - Phương tiện vận tải chở hàng hóa mang tác nhân gây bệnh truyền nhiễm hoặc nghi ngờ mang tác nhân gây bệnh truyền nhiễm.  d) Hàng hóa có thông báo của cơ quan có thẩm quyền về nguy cơ lây lan dịch bệnh truyền nhiễm.  2. Trường hợp hàng hóa không có yếu tố nguy cơ kiểm dịch viên y tế thực hiện giám sát hàng hóa trong thời gian chờ nhập cảnh, xuất cảnh, quá cảnh gồm</w:t>
      </w:r>
      <w:r>
        <w:rPr>
          <w:rFonts w:ascii="Times New Roman" w:eastAsia="Times New Roman" w:hAnsi="Times New Roman" w:cs="Times New Roman"/>
          <w:sz w:val="26"/>
        </w:rPr>
        <w:t xml:space="preserve"> các nội dung sau:  a) Đối chiếu giấy khai báo y tế đối với hàng hóa, trừ trường hợp hàng hóa quá cảnh mà không bốc dỡ khỏi phương tiện;  b) Giám sát tác nhân gây bệnh truyền nhiễm, trung gian gây bệnh truyền nhiễm xâm nhập vào hàng hóa.  3. Thực hiện giám sát theo quy định đối với hàng hóa nhập khẩu chờ làm thủ tục nhập khẩu trước khi </w:t>
      </w:r>
      <w:r>
        <w:rPr>
          <w:rFonts w:ascii="Times New Roman" w:eastAsia="Times New Roman" w:hAnsi="Times New Roman" w:cs="Times New Roman"/>
          <w:sz w:val="26"/>
        </w:rPr>
        <w:lastRenderedPageBreak/>
        <w:t xml:space="preserve">chuyển về kho ngoại quan nằm ngoài cửa khẩu.  4. Trong quá trình giám sát, nếu phát hiện hàng hóa có trung gian truyền bệnh truyền nhiễm, tác nhân gây bệnh truyền nhiễm hoặc </w:t>
      </w:r>
      <w:r>
        <w:rPr>
          <w:rFonts w:ascii="Times New Roman" w:eastAsia="Times New Roman" w:hAnsi="Times New Roman" w:cs="Times New Roman"/>
          <w:sz w:val="26"/>
        </w:rPr>
        <w:t>không bảo đảm điều kiện vệ sinh chung (bao gồm phát hiện chất thải, chất tiết, dấu vết của trung gian truyền bệnh; hàng hóa có tình trạng nấm, mốc, mùi hôi thối), kiểm dịch viên y tế thu thập thêm thông tin về các biện pháp xử lý y tế đã áp dụng, cần hỗ trợ, đề xuất biện pháp kiểm tra y tế vào Giấy khai báo y tế đối với hàng hóa.  5. Trường hợp hàng hóa không thuộc một trong các trường hợp quy định, kiểm dịch viên y tế xác nhận kết quả kiểm dịch y tế và kết thúc quy trình kiểm dịch.</w:t>
      </w:r>
    </w:p>
    <w:p w:rsidR="001F23D9" w:rsidRDefault="00D01AFC">
      <w:pPr>
        <w:spacing w:after="0" w:line="276" w:lineRule="auto"/>
        <w:jc w:val="both"/>
      </w:pPr>
      <w:r>
        <w:rPr>
          <w:rFonts w:ascii="Times New Roman" w:eastAsia="Times New Roman" w:hAnsi="Times New Roman" w:cs="Times New Roman"/>
          <w:sz w:val="26"/>
        </w:rPr>
        <w:t xml:space="preserve"> Bước 4. Kiểm tra giấy tờ đối với hàng hóa  Kiểm dịch viên y tế kiểm tra các loại giấy tờ sau:  a) Đối với hàng hóa vận tải bằng đường bộ, đường sắt, đường hàng không: giấy khai báo y tế hàng hóa, phương tiện vận tải đường bộ, đường sắt, đường hàng không, giấy chứng nhận kiểm tra/xử lý y tế hàng hóa, phương tiện vận tải đường bộ, đường sắt, đường hàng không (nếu có);  b) Đối với hàng hóa vận tải bằng đường thủy: bản sao bản khai hàng hóa; giấy chứng nhận kiểm tra y tế hàng hóa (trên tàu thuyền), tàu thuyền </w:t>
      </w:r>
      <w:r>
        <w:rPr>
          <w:rFonts w:ascii="Times New Roman" w:eastAsia="Times New Roman" w:hAnsi="Times New Roman" w:cs="Times New Roman"/>
          <w:sz w:val="26"/>
        </w:rPr>
        <w:t>(nếu có).</w:t>
      </w:r>
    </w:p>
    <w:p w:rsidR="001F23D9" w:rsidRDefault="00D01AFC">
      <w:pPr>
        <w:spacing w:after="0" w:line="276" w:lineRule="auto"/>
        <w:jc w:val="both"/>
      </w:pPr>
      <w:r>
        <w:rPr>
          <w:rFonts w:ascii="Times New Roman" w:eastAsia="Times New Roman" w:hAnsi="Times New Roman" w:cs="Times New Roman"/>
          <w:sz w:val="26"/>
        </w:rPr>
        <w:t xml:space="preserve"> Bước 5. Kiểm tra thực tế đối với hàng hóa  Kiểm dịch viên y tế yêu cầu đưa hàng hóa vào khu vực kiểm tra y tế, thực hiện kiểm tra các nội dung sau:  1. Nội dung khai báo với thực tế hàng hóa;  2. Tình trạng vệ sinh chung;  3. Trung gian truyền bệnh truyền nhiễm;  4. Quy định về dụng cụ, bao gói chứa đựng, thông tin ghi trên nhãn; điều kiện vận chuyển;  5. Đánh giá hiệu quả các biện pháp xử lý y tế đã áp dụng;  6. Lấy mẫu xét nghiệm trong các trường hợp:  a) Hàng hóa có yếu tố nguy cơ bao gồm:  - Hàng hóa v</w:t>
      </w:r>
      <w:r>
        <w:rPr>
          <w:rFonts w:ascii="Times New Roman" w:eastAsia="Times New Roman" w:hAnsi="Times New Roman" w:cs="Times New Roman"/>
          <w:sz w:val="26"/>
        </w:rPr>
        <w:t xml:space="preserve">ận chuyển qua quốc gia, vùng lãnh thổ có ghi nhận trường hợp bệnh truyền nhiễm mà Bộ Y tế có yêu cầu phải giám sát;  - Hàng hóa mang hoặc có dấu hiệu mang mầm bệnh, trung gian truyền bệnh truyền nhiễm;  - Hàng hóa vận chuyển bằng phương tiện có yếu tố nguy cơ:  + Phương tiện vận tải đi qua quốc gia, vùng lãnh thổ có ghi nhận trường hợp bệnh truyền nhiễm mà Bộ Y tế có yêu cầu phải giám sát;  + Phương tiện vận tải chở người bệnh hoặc người nghi ngờ mắc bệnh hoặc mang tác nhân gây bệnh truyền nhiễm;  + Phương </w:t>
      </w:r>
      <w:r>
        <w:rPr>
          <w:rFonts w:ascii="Times New Roman" w:eastAsia="Times New Roman" w:hAnsi="Times New Roman" w:cs="Times New Roman"/>
          <w:sz w:val="26"/>
        </w:rPr>
        <w:t xml:space="preserve">tiện vận tải chở hàng hóa mang tác nhân gây bệnh truyền nhiễm hoặc nghi ngờ mang tác nhân gây bệnh truyền nhiễm.  - Hàng hóa có thông báo của cơ quan có thẩm quyền về nguy cơ lây lan dịch bệnh truyền nhiễm.  b) Hàng hóa có trung gian truyền bệnh truyền nhiễm, tác nhân gây bệnh truyền nhiễm hoặc không bảo đảm điều kiện vệ sinh chung (bao gồm phát hiện chất thải, chất tiết, dấu vết của trung gian truyền bệnh; hàng hóa có tình trạng nấm, mốc, mùi hôi thối).  c) Hàng hóa thuộc một trong các trường hợp:  - Xuất </w:t>
      </w:r>
      <w:r>
        <w:rPr>
          <w:rFonts w:ascii="Times New Roman" w:eastAsia="Times New Roman" w:hAnsi="Times New Roman" w:cs="Times New Roman"/>
          <w:sz w:val="26"/>
        </w:rPr>
        <w:t>phát hoặc đi qua quốc gia, vùng lãnh thổ ghi nhận có trường hợp bệnh truyền nhiễm thuộc nhóm A mà chưa được xử lý y tế;  - Phương tiện vận tải chở hàng hóa xuất phát hoặc đi qua quốc gia, vùng lãnh thổ ghi nhận có trường hợp bệnh truyền nhiễm thuộc nhóm A mà chưa được xử lý y tế.</w:t>
      </w:r>
    </w:p>
    <w:p w:rsidR="001F23D9" w:rsidRDefault="00D01AFC">
      <w:pPr>
        <w:spacing w:after="0" w:line="276" w:lineRule="auto"/>
        <w:jc w:val="both"/>
      </w:pPr>
      <w:r>
        <w:rPr>
          <w:rFonts w:ascii="Times New Roman" w:eastAsia="Times New Roman" w:hAnsi="Times New Roman" w:cs="Times New Roman"/>
          <w:sz w:val="26"/>
        </w:rPr>
        <w:t xml:space="preserve"> Bước 6. Xử lý y tế đối với hàng hóa  Căn cứ kết quả kiểm tra thực tế, kiểm dịch viên y tế có thể áp dụng một hoặc các biện pháp sau:  a) Khử trùng, diệt tác nhân gây bệnh, trung </w:t>
      </w:r>
      <w:r>
        <w:rPr>
          <w:rFonts w:ascii="Times New Roman" w:eastAsia="Times New Roman" w:hAnsi="Times New Roman" w:cs="Times New Roman"/>
          <w:sz w:val="26"/>
        </w:rPr>
        <w:lastRenderedPageBreak/>
        <w:t>gian truyền bệnh truyền nhiễm;  b) Buộc tiêu hủy hoặc tái xuất đối với hàng hóa không thể diệt được tác nhân gây bệnh, trung gian truyền bệnh truyền nhiễm.</w:t>
      </w:r>
    </w:p>
    <w:p w:rsidR="001F23D9" w:rsidRDefault="00D01AF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3"/>
        <w:gridCol w:w="834"/>
        <w:gridCol w:w="2831"/>
        <w:gridCol w:w="5047"/>
      </w:tblGrid>
      <w:tr w:rsidR="001F23D9">
        <w:tblPrEx>
          <w:tblCellMar>
            <w:top w:w="0" w:type="dxa"/>
            <w:bottom w:w="0" w:type="dxa"/>
          </w:tblCellMar>
        </w:tblPrEx>
        <w:tc>
          <w:tcPr>
            <w:tcW w:w="15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Hình thức nộp</w:t>
            </w:r>
          </w:p>
        </w:tc>
        <w:tc>
          <w:tcPr>
            <w:tcW w:w="2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Phí, lệ phí</w:t>
            </w:r>
          </w:p>
        </w:tc>
        <w:tc>
          <w:tcPr>
            <w:tcW w:w="3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Mô tả</w:t>
            </w:r>
          </w:p>
        </w:tc>
      </w:tr>
      <w:tr w:rsidR="001F23D9">
        <w:tblPrEx>
          <w:tblCellMar>
            <w:top w:w="0" w:type="dxa"/>
            <w:bottom w:w="0" w:type="dxa"/>
          </w:tblCellMar>
        </w:tblPrEx>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Trực tiếp</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01 Giờ</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Phí : 110 USD (Tàu biển trọng tải từ 10.000 GRT trở lên)</w:t>
            </w:r>
          </w:p>
          <w:p w:rsidR="001F23D9" w:rsidRDefault="00D01AFC">
            <w:pPr>
              <w:spacing w:after="0" w:line="276" w:lineRule="auto"/>
            </w:pPr>
            <w:r>
              <w:rPr>
                <w:rFonts w:ascii="Times New Roman" w:eastAsia="Times New Roman" w:hAnsi="Times New Roman" w:cs="Times New Roman"/>
                <w:sz w:val="26"/>
              </w:rPr>
              <w:t>Phí : 130 USD</w:t>
            </w:r>
            <w:r>
              <w:rPr>
                <w:rFonts w:ascii="Times New Roman" w:eastAsia="Times New Roman" w:hAnsi="Times New Roman" w:cs="Times New Roman"/>
                <w:sz w:val="26"/>
              </w:rPr>
              <w:t xml:space="preserve"> (Kiểm tra y tế và cấp Giấy chứng nhận miễn xử lý /xử lý vệ sinh tàu thuyền (gồm cả lần đầu, cấp lại))</w:t>
            </w:r>
          </w:p>
          <w:p w:rsidR="001F23D9" w:rsidRDefault="00D01AFC">
            <w:pPr>
              <w:spacing w:after="0" w:line="276" w:lineRule="auto"/>
            </w:pPr>
            <w:r>
              <w:rPr>
                <w:rFonts w:ascii="Times New Roman" w:eastAsia="Times New Roman" w:hAnsi="Times New Roman" w:cs="Times New Roman"/>
                <w:sz w:val="26"/>
              </w:rPr>
              <w:t>Phí : 7000 Đồng (Lô/kiện dưới 10kg)</w:t>
            </w:r>
          </w:p>
          <w:p w:rsidR="001F23D9" w:rsidRDefault="00D01AFC">
            <w:pPr>
              <w:spacing w:after="0" w:line="276" w:lineRule="auto"/>
            </w:pPr>
            <w:r>
              <w:rPr>
                <w:rFonts w:ascii="Times New Roman" w:eastAsia="Times New Roman" w:hAnsi="Times New Roman" w:cs="Times New Roman"/>
                <w:sz w:val="26"/>
              </w:rPr>
              <w:t>Phí : 15000 Đồng (Lô/kiện từ 10kg đến 100kg)</w:t>
            </w:r>
          </w:p>
          <w:p w:rsidR="001F23D9" w:rsidRDefault="00D01AFC">
            <w:pPr>
              <w:spacing w:after="0" w:line="276" w:lineRule="auto"/>
            </w:pPr>
            <w:r>
              <w:rPr>
                <w:rFonts w:ascii="Times New Roman" w:eastAsia="Times New Roman" w:hAnsi="Times New Roman" w:cs="Times New Roman"/>
                <w:sz w:val="26"/>
              </w:rPr>
              <w:t>Phí : 20000 Đồng (Lô/kiện trên 100kg)</w:t>
            </w:r>
          </w:p>
          <w:p w:rsidR="001F23D9" w:rsidRDefault="00D01AFC">
            <w:pPr>
              <w:spacing w:after="0" w:line="276" w:lineRule="auto"/>
            </w:pPr>
            <w:r>
              <w:rPr>
                <w:rFonts w:ascii="Times New Roman" w:eastAsia="Times New Roman" w:hAnsi="Times New Roman" w:cs="Times New Roman"/>
                <w:sz w:val="26"/>
              </w:rPr>
              <w:t>Phí : 25000 Đồng</w:t>
            </w:r>
            <w:r>
              <w:rPr>
                <w:rFonts w:ascii="Times New Roman" w:eastAsia="Times New Roman" w:hAnsi="Times New Roman" w:cs="Times New Roman"/>
                <w:sz w:val="26"/>
              </w:rPr>
              <w:t xml:space="preserve"> (Phương tiện đường bộ các loại (công nông, xe tải, xe bán tải, xe con, xe khách, xe khác) tải trọng dưới 5 tấn)</w:t>
            </w:r>
          </w:p>
          <w:p w:rsidR="001F23D9" w:rsidRDefault="00D01AFC">
            <w:pPr>
              <w:spacing w:after="0" w:line="276" w:lineRule="auto"/>
            </w:pPr>
            <w:r>
              <w:rPr>
                <w:rFonts w:ascii="Times New Roman" w:eastAsia="Times New Roman" w:hAnsi="Times New Roman" w:cs="Times New Roman"/>
                <w:sz w:val="26"/>
              </w:rPr>
              <w:t>Phí : 95 USD (Tàu biển trọng tải dưới 10.000 GRT)</w:t>
            </w:r>
          </w:p>
          <w:p w:rsidR="001F23D9" w:rsidRDefault="00D01AFC">
            <w:pPr>
              <w:spacing w:after="0" w:line="276" w:lineRule="auto"/>
            </w:pPr>
            <w:r>
              <w:rPr>
                <w:rFonts w:ascii="Times New Roman" w:eastAsia="Times New Roman" w:hAnsi="Times New Roman" w:cs="Times New Roman"/>
                <w:sz w:val="26"/>
              </w:rPr>
              <w:t>Phí : 18 USD (Tàu thuyền chở khách dưới 150 chỗ ngồi)</w:t>
            </w:r>
          </w:p>
          <w:p w:rsidR="001F23D9" w:rsidRDefault="00D01AFC">
            <w:pPr>
              <w:spacing w:after="0" w:line="276" w:lineRule="auto"/>
            </w:pPr>
            <w:r>
              <w:rPr>
                <w:rFonts w:ascii="Times New Roman" w:eastAsia="Times New Roman" w:hAnsi="Times New Roman" w:cs="Times New Roman"/>
                <w:sz w:val="26"/>
              </w:rPr>
              <w:t>Phí : 25 USD (Tàu bay các loại)</w:t>
            </w:r>
          </w:p>
          <w:p w:rsidR="001F23D9" w:rsidRDefault="00D01AFC">
            <w:pPr>
              <w:spacing w:after="0" w:line="276" w:lineRule="auto"/>
            </w:pPr>
            <w:r>
              <w:rPr>
                <w:rFonts w:ascii="Times New Roman" w:eastAsia="Times New Roman" w:hAnsi="Times New Roman" w:cs="Times New Roman"/>
                <w:sz w:val="26"/>
              </w:rPr>
              <w:t>Phí : 26 USD (Tàu thuyền, tàu kéo, tàu đẩy, xà lan tự hành sông biển trọng tải dưới 5000 GRT)</w:t>
            </w:r>
          </w:p>
          <w:p w:rsidR="001F23D9" w:rsidRDefault="00D01AFC">
            <w:pPr>
              <w:spacing w:after="0" w:line="276" w:lineRule="auto"/>
            </w:pPr>
            <w:r>
              <w:rPr>
                <w:rFonts w:ascii="Times New Roman" w:eastAsia="Times New Roman" w:hAnsi="Times New Roman" w:cs="Times New Roman"/>
                <w:sz w:val="26"/>
              </w:rPr>
              <w:t>Phí : 39 USD (Tàu thuyền, tàu kéo, tàu đẩy, xà lan tự hành sông biển trọng tải từ 5000 GRT trở lên)</w:t>
            </w:r>
          </w:p>
          <w:p w:rsidR="001F23D9" w:rsidRDefault="00D01AFC">
            <w:pPr>
              <w:spacing w:after="0" w:line="276" w:lineRule="auto"/>
            </w:pPr>
            <w:r>
              <w:rPr>
                <w:rFonts w:ascii="Times New Roman" w:eastAsia="Times New Roman" w:hAnsi="Times New Roman" w:cs="Times New Roman"/>
                <w:sz w:val="26"/>
              </w:rPr>
              <w:t>Phí : 65 USD (Kiểm tra y tế và Gia hạn hoặc cấp lại Giấy chứng nhận miễn xử lý /xử lý vệ sinh tàu thuyền (gồm cả lần đầu, cấp lại))</w:t>
            </w:r>
          </w:p>
          <w:p w:rsidR="001F23D9" w:rsidRDefault="00D01AFC">
            <w:pPr>
              <w:spacing w:after="0" w:line="276" w:lineRule="auto"/>
            </w:pPr>
            <w:r>
              <w:rPr>
                <w:rFonts w:ascii="Times New Roman" w:eastAsia="Times New Roman" w:hAnsi="Times New Roman" w:cs="Times New Roman"/>
                <w:sz w:val="26"/>
              </w:rPr>
              <w:t>Phí : 75 USD (Tàu thuyền chở khách từ 150 chỗ ngồi trở lên)</w:t>
            </w:r>
          </w:p>
          <w:p w:rsidR="001F23D9" w:rsidRDefault="00D01AFC">
            <w:pPr>
              <w:spacing w:after="0" w:line="276" w:lineRule="auto"/>
            </w:pPr>
            <w:r>
              <w:rPr>
                <w:rFonts w:ascii="Times New Roman" w:eastAsia="Times New Roman" w:hAnsi="Times New Roman" w:cs="Times New Roman"/>
                <w:sz w:val="26"/>
              </w:rPr>
              <w:t>Phí : 35000 Đồng (Phương tiện thủy các loại (gồm tàu thuyền chở hàng hóa, chở người, ghe, đò, xuồng, tàu kéo, tàu đẩy) qua lại biên giới)</w:t>
            </w:r>
          </w:p>
          <w:p w:rsidR="001F23D9" w:rsidRDefault="00D01AFC">
            <w:pPr>
              <w:spacing w:after="0" w:line="276" w:lineRule="auto"/>
            </w:pPr>
            <w:r>
              <w:rPr>
                <w:rFonts w:ascii="Times New Roman" w:eastAsia="Times New Roman" w:hAnsi="Times New Roman" w:cs="Times New Roman"/>
                <w:sz w:val="26"/>
              </w:rPr>
              <w:t>Phí : 35000 Đồng (Phương tiện đường bộ các loại (công nông, xe tải, xe bán tải, xe con, xe khách, xe khác) tải trọng từ 5 tấn trở lên)</w:t>
            </w:r>
          </w:p>
          <w:p w:rsidR="001F23D9" w:rsidRDefault="00D01AFC">
            <w:pPr>
              <w:spacing w:after="0" w:line="276" w:lineRule="auto"/>
            </w:pPr>
            <w:r>
              <w:rPr>
                <w:rFonts w:ascii="Times New Roman" w:eastAsia="Times New Roman" w:hAnsi="Times New Roman" w:cs="Times New Roman"/>
                <w:sz w:val="26"/>
              </w:rPr>
              <w:t>Phí : 35000 Đồng (Dưới 5 tấn)</w:t>
            </w:r>
          </w:p>
          <w:p w:rsidR="001F23D9" w:rsidRDefault="00D01AFC">
            <w:pPr>
              <w:spacing w:after="0" w:line="276" w:lineRule="auto"/>
            </w:pPr>
            <w:r>
              <w:rPr>
                <w:rFonts w:ascii="Times New Roman" w:eastAsia="Times New Roman" w:hAnsi="Times New Roman" w:cs="Times New Roman"/>
                <w:sz w:val="26"/>
              </w:rPr>
              <w:t>Phí : 50000 Đồng (Tàu hỏa (Theo Toa, đầu tàu, xe goòng tính bằng một toa))</w:t>
            </w:r>
          </w:p>
          <w:p w:rsidR="001F23D9" w:rsidRDefault="00D01AFC">
            <w:pPr>
              <w:spacing w:after="0" w:line="276" w:lineRule="auto"/>
            </w:pPr>
            <w:r>
              <w:rPr>
                <w:rFonts w:ascii="Times New Roman" w:eastAsia="Times New Roman" w:hAnsi="Times New Roman" w:cs="Times New Roman"/>
                <w:sz w:val="26"/>
              </w:rPr>
              <w:t>Phí : 50000 Đồng (Từ 5 tấn đến 10 tấn)</w:t>
            </w:r>
          </w:p>
          <w:p w:rsidR="001F23D9" w:rsidRDefault="00D01AFC">
            <w:pPr>
              <w:spacing w:after="0" w:line="276" w:lineRule="auto"/>
            </w:pPr>
            <w:r>
              <w:rPr>
                <w:rFonts w:ascii="Times New Roman" w:eastAsia="Times New Roman" w:hAnsi="Times New Roman" w:cs="Times New Roman"/>
                <w:sz w:val="26"/>
              </w:rPr>
              <w:t>Phí : 60000 Đồng (Từ trên 10 tấn đến 15 tấn)</w:t>
            </w:r>
          </w:p>
          <w:p w:rsidR="001F23D9" w:rsidRDefault="00D01AFC">
            <w:pPr>
              <w:spacing w:after="0" w:line="276" w:lineRule="auto"/>
            </w:pPr>
            <w:r>
              <w:rPr>
                <w:rFonts w:ascii="Times New Roman" w:eastAsia="Times New Roman" w:hAnsi="Times New Roman" w:cs="Times New Roman"/>
                <w:sz w:val="26"/>
              </w:rPr>
              <w:t>Phí : 75000 Đồng (Từ trên 15 tấn đến 30 tấn)</w:t>
            </w:r>
          </w:p>
          <w:p w:rsidR="001F23D9" w:rsidRDefault="00D01AFC">
            <w:pPr>
              <w:spacing w:after="0" w:line="276" w:lineRule="auto"/>
            </w:pPr>
            <w:r>
              <w:rPr>
                <w:rFonts w:ascii="Times New Roman" w:eastAsia="Times New Roman" w:hAnsi="Times New Roman" w:cs="Times New Roman"/>
                <w:sz w:val="26"/>
              </w:rPr>
              <w:t>Phí : 80000 Đồng (Từ trên 30 tấn đến 60 tấn)</w:t>
            </w:r>
          </w:p>
          <w:p w:rsidR="001F23D9" w:rsidRDefault="00D01AFC">
            <w:pPr>
              <w:spacing w:after="0" w:line="276" w:lineRule="auto"/>
            </w:pPr>
            <w:r>
              <w:rPr>
                <w:rFonts w:ascii="Times New Roman" w:eastAsia="Times New Roman" w:hAnsi="Times New Roman" w:cs="Times New Roman"/>
                <w:sz w:val="26"/>
              </w:rPr>
              <w:t>Phí : 110000 Đồng (Từ trên 60 tấn đến 100 tấn)</w:t>
            </w:r>
          </w:p>
          <w:p w:rsidR="001F23D9" w:rsidRDefault="00D01AFC">
            <w:pPr>
              <w:spacing w:after="0" w:line="276" w:lineRule="auto"/>
            </w:pPr>
            <w:r>
              <w:rPr>
                <w:rFonts w:ascii="Times New Roman" w:eastAsia="Times New Roman" w:hAnsi="Times New Roman" w:cs="Times New Roman"/>
                <w:sz w:val="26"/>
              </w:rPr>
              <w:t>Phí : 140000 Đồng</w:t>
            </w:r>
            <w:r>
              <w:rPr>
                <w:rFonts w:ascii="Times New Roman" w:eastAsia="Times New Roman" w:hAnsi="Times New Roman" w:cs="Times New Roman"/>
                <w:sz w:val="26"/>
              </w:rPr>
              <w:t xml:space="preserve"> (Từ trên 100 tấn)</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 Thời gian hoàn thành việc giám sát đối với hàng hóa không quá 01 giờ đối với lô hàng hóa dưới 10 tấn, không quá 03 giờ đối với lô hàng hóa từ 10 tấn trở lên.  - Thời gian hoàn thành việc kiểm tra giấy tờ một lô hàng hóa không quá 20 phút.  - Thời gian hoàn thành việc kiểm tra thực tế phải không quá 01 giờ đối với lô hàng hóa dưới 10 tấn, không quá 03 giờ đối với lô hàng hóa từ 10 tấn trở lên. - Thời gian hoàn thành các biện pháp xử lý y tế không quá 02 giờ đối với lô hàng hóa dưới 10 tấn, không quá 06 </w:t>
            </w:r>
            <w:r>
              <w:rPr>
                <w:rFonts w:ascii="Times New Roman" w:eastAsia="Times New Roman" w:hAnsi="Times New Roman" w:cs="Times New Roman"/>
                <w:sz w:val="26"/>
              </w:rPr>
              <w:t>giờ đối với lô hàng hóa từ 10 tấn trở lên. Trước khi hết thời gian quy định 15 phút mà vẫn chưa hoàn thành việc xử lý y tế, tổ chức kiểm dịch y tế biên giới phải thông báo việc gia hạn thời gian xử lý y tế và nêu rõ lý do cho người khai báo y tế. Thời gian gia hạn không quá 02 giờ kể từ thời điểm có thông báo gia hạn</w:t>
            </w:r>
          </w:p>
        </w:tc>
      </w:tr>
    </w:tbl>
    <w:p w:rsidR="001F23D9" w:rsidRDefault="00D01AFC">
      <w:pPr>
        <w:spacing w:before="240" w:after="0" w:line="276" w:lineRule="auto"/>
        <w:jc w:val="both"/>
      </w:pPr>
      <w:r>
        <w:rPr>
          <w:rFonts w:ascii="Times New Roman" w:eastAsia="Times New Roman" w:hAnsi="Times New Roman" w:cs="Times New Roman"/>
          <w:b/>
          <w:sz w:val="26"/>
        </w:rPr>
        <w:t xml:space="preserve">Thành phần hồ sơ: </w:t>
      </w:r>
    </w:p>
    <w:p w:rsidR="001F23D9" w:rsidRDefault="00D01AF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57"/>
        <w:gridCol w:w="884"/>
        <w:gridCol w:w="984"/>
      </w:tblGrid>
      <w:tr w:rsidR="001F23D9">
        <w:tblPrEx>
          <w:tblCellMar>
            <w:top w:w="0" w:type="dxa"/>
            <w:bottom w:w="0" w:type="dxa"/>
          </w:tblCellMar>
        </w:tblPrEx>
        <w:tc>
          <w:tcPr>
            <w:tcW w:w="6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Tên giấy tờ</w:t>
            </w:r>
          </w:p>
        </w:tc>
        <w:tc>
          <w:tcPr>
            <w:tcW w:w="2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Mẫu đơn, tờ khai</w:t>
            </w:r>
          </w:p>
        </w:tc>
        <w:tc>
          <w:tcPr>
            <w:tcW w:w="2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Số lượng</w:t>
            </w:r>
          </w:p>
        </w:tc>
      </w:tr>
      <w:tr w:rsidR="001F23D9">
        <w:tblPrEx>
          <w:tblCellMar>
            <w:top w:w="0" w:type="dxa"/>
            <w:bottom w:w="0" w:type="dxa"/>
          </w:tblCellMar>
        </w:tblPrEx>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Đối với hàng hóa vận tải bằng đường bộ, đường sắt, đường hàng không: giấy khai báo y tế hàng hóa, phương tiện vận tải đường bộ, đường sắt, đường hàng không, giấy chứng nhận kiểm tra/xử lý y tế hàng hóa, phương tiện vận tải đường bộ, đường sắt, đường hàng không (nếu có);</w:t>
            </w:r>
          </w:p>
        </w:tc>
        <w:tc>
          <w:tcPr>
            <w:tcW w:w="0" w:type="auto"/>
          </w:tcPr>
          <w:p w:rsidR="001F23D9" w:rsidRDefault="001F23D9"/>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F23D9">
        <w:tblPrEx>
          <w:tblCellMar>
            <w:top w:w="0" w:type="dxa"/>
            <w:bottom w:w="0" w:type="dxa"/>
          </w:tblCellMar>
        </w:tblPrEx>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Đối với hàng hóa vận tải bằng đường thủy: bản sao bản khai hàng hóa; giấy chứng nhận kiểm tra y tế hàng hóa (trên tàu thuyền), tàu thuyền (nếu có).</w:t>
            </w:r>
          </w:p>
        </w:tc>
        <w:tc>
          <w:tcPr>
            <w:tcW w:w="0" w:type="auto"/>
          </w:tcPr>
          <w:p w:rsidR="001F23D9" w:rsidRDefault="001F23D9"/>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F23D9">
        <w:tblPrEx>
          <w:tblCellMar>
            <w:top w:w="0" w:type="dxa"/>
            <w:bottom w:w="0" w:type="dxa"/>
          </w:tblCellMar>
        </w:tblPrEx>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Đơn đề nghị: Trường hợp người khai báo y tế yêu cầu kiểm tra, xử lý y tế hàng hóa để cấp giấy chứng nhận kiểm tra/xử lý y tế hàng hóa.</w:t>
            </w:r>
          </w:p>
        </w:tc>
        <w:tc>
          <w:tcPr>
            <w:tcW w:w="0" w:type="auto"/>
          </w:tcPr>
          <w:p w:rsidR="001F23D9" w:rsidRDefault="001F23D9"/>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F23D9" w:rsidRDefault="00D01AF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w:t>
      </w:r>
    </w:p>
    <w:p w:rsidR="001F23D9" w:rsidRDefault="00D01AF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Trung tâm kiểm dịch Y tế Quốc tế</w:t>
      </w:r>
    </w:p>
    <w:p w:rsidR="001F23D9" w:rsidRDefault="00D01AF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F23D9" w:rsidRDefault="00D01AF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F23D9" w:rsidRDefault="00D01AF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F23D9" w:rsidRDefault="00D01AF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F23D9" w:rsidRDefault="00D01AF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không cần phải kiểm tra y tế, Giấy chứng nhận kiểm tra/xử lý</w:t>
      </w:r>
    </w:p>
    <w:p w:rsidR="001F23D9" w:rsidRDefault="00D01AF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8"/>
        <w:gridCol w:w="3305"/>
        <w:gridCol w:w="1408"/>
        <w:gridCol w:w="2754"/>
      </w:tblGrid>
      <w:tr w:rsidR="001F23D9">
        <w:tblPrEx>
          <w:tblCellMar>
            <w:top w:w="0" w:type="dxa"/>
            <w:bottom w:w="0" w:type="dxa"/>
          </w:tblCellMar>
        </w:tblPrEx>
        <w:tc>
          <w:tcPr>
            <w:tcW w:w="2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Số ký hiệu</w:t>
            </w:r>
          </w:p>
        </w:tc>
        <w:tc>
          <w:tcPr>
            <w:tcW w:w="35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Trích yếu</w:t>
            </w:r>
          </w:p>
        </w:tc>
        <w:tc>
          <w:tcPr>
            <w:tcW w:w="15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Ngày ban hành</w:t>
            </w:r>
          </w:p>
        </w:tc>
        <w:tc>
          <w:tcPr>
            <w:tcW w:w="3000" w:type="dxa"/>
          </w:tcPr>
          <w:p w:rsidR="001F23D9" w:rsidRDefault="001F23D9"/>
          <w:p w:rsidR="001F23D9" w:rsidRDefault="00D01AFC">
            <w:pPr>
              <w:spacing w:after="0" w:line="276" w:lineRule="auto"/>
              <w:jc w:val="center"/>
            </w:pPr>
            <w:r>
              <w:rPr>
                <w:rFonts w:ascii="Times New Roman" w:eastAsia="Times New Roman" w:hAnsi="Times New Roman" w:cs="Times New Roman"/>
                <w:b/>
                <w:sz w:val="26"/>
              </w:rPr>
              <w:t>Cơ quan ban hành</w:t>
            </w:r>
          </w:p>
        </w:tc>
      </w:tr>
      <w:tr w:rsidR="001F23D9">
        <w:tblPrEx>
          <w:tblCellMar>
            <w:top w:w="0" w:type="dxa"/>
            <w:bottom w:w="0" w:type="dxa"/>
          </w:tblCellMar>
        </w:tblPrEx>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03/2007/QH12</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Luật 03/2007/QH12</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21-11-2007</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Quốc Hội</w:t>
            </w:r>
          </w:p>
        </w:tc>
      </w:tr>
      <w:tr w:rsidR="001F23D9">
        <w:tblPrEx>
          <w:tblCellMar>
            <w:top w:w="0" w:type="dxa"/>
            <w:bottom w:w="0" w:type="dxa"/>
          </w:tblCellMar>
        </w:tblPrEx>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89/2018/NĐ-CP</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Nghị định 89/2018/NĐ-CP</w:t>
            </w:r>
          </w:p>
        </w:tc>
        <w:tc>
          <w:tcPr>
            <w:tcW w:w="0" w:type="auto"/>
          </w:tcPr>
          <w:p w:rsidR="001F23D9" w:rsidRDefault="001F23D9"/>
          <w:p w:rsidR="001F23D9" w:rsidRDefault="00D01AFC">
            <w:pPr>
              <w:spacing w:after="0" w:line="276" w:lineRule="auto"/>
            </w:pPr>
            <w:r>
              <w:rPr>
                <w:rFonts w:ascii="Times New Roman" w:eastAsia="Times New Roman" w:hAnsi="Times New Roman" w:cs="Times New Roman"/>
                <w:sz w:val="26"/>
              </w:rPr>
              <w:t>25-06-2018</w:t>
            </w:r>
          </w:p>
        </w:tc>
        <w:tc>
          <w:tcPr>
            <w:tcW w:w="0" w:type="auto"/>
          </w:tcPr>
          <w:p w:rsidR="001F23D9" w:rsidRDefault="001F23D9"/>
        </w:tc>
      </w:tr>
    </w:tbl>
    <w:p w:rsidR="001F23D9" w:rsidRDefault="00D01AF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rsidR="001F23D9" w:rsidRDefault="00D01AF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F23D9" w:rsidRDefault="00D01AF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https://thutuc.dichvucong.gov.vn/p/home/dvc-tthc-thu-tuc-hanh-chinh-chi-tiet.html?ma_thu_tuc=3252</w:t>
      </w:r>
    </w:p>
    <w:sectPr w:rsidR="001F23D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23D9"/>
    <w:rsid w:val="001F23D9"/>
    <w:rsid w:val="00930758"/>
    <w:rsid w:val="00D01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468FDD-A937-4D82-86D4-493E4C16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1495</Words>
  <Characters>8524</Characters>
  <Application>Microsoft Office Word</Application>
  <DocSecurity>0</DocSecurity>
  <Lines>71</Lines>
  <Paragraphs>19</Paragraphs>
  <ScaleCrop>false</ScaleCrop>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