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2.001661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2179/QĐ-BYT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Hỗ trợ học văn hóa, học nghề, trợ cấp khó khăn ban đầu cho nạn nhân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Phòng, chống tệ nạn xã hội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Nạn nhân hoặc gia đình nạn nhân (đối với trường hợp dưới 18 tuổi) hoặc gia đình người đi cùng dưới 18 tuổi gửi đơn theo Mẫu số 07 ban hành kèm theo Nghị định số 162/2025/NĐ-CP ngày 29/6/2025 của Chính phủ quy định chi tiết một số điều và biện pháp thi hành Luật Phòng, chống mua bán người đến Ủy ban nhân dân cấp xã nơi cư trú.
- Bước 2: Trong thời hạn 03 ngày làm việc, kể từ ngày nhận được đơn của nạn nhân hoặc gia đình nạn nhân, Chủ tịch Ủy ban nhân dân cấp xã lập hồ sơ gửi cơ quan chuyên môn thuộc Sở Y tế.
- Bước 3: Trong thời hạn 03 ngày làm việc, kể từ ngày nhận đủ hồ sơ đề nghị của Ủy ban nhân dân cấp xã, cơ quan chuyên môn thuộc Sở Y tế có trách nhiệm thẩm định trình Giám đốc Sở Y tế xem xét, quyết định (đối với trường hợp hỗ trợ học văn hóa, cơ quan chuyên môn thuộc Sở Y tế chủ trì phối hợp với cơ quan chuyên môn thuộc Sở Giáo dục và Đào tạo thống nhất trước khi trình Giám đốc Sở Y tế).
- Bước 4: Trong thời hạn 03 ngày làm việc, kể từ ngày nhận được tờ trình của cơ quan chuyên môn thuộc Sở Y tế, Giám đốc Sở Y tế xem xét, quyết định chi hỗ trợ học văn hóa, học nghề, trợ cấp khó khăn ban đầu.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9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09 ngày làm việc kể từ ngày nhận được đơn đề nghị hỗ trợ.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9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09 ngày làm việc kể từ ngày nhận được đơn đề nghị hỗ trợ.</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9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09 ngày làm việc kể từ ngày nhận được đơn đề nghị hỗ trợ.</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hỗ trợ học văn hóa của gia đình nạn nhân dưới 18 tuổi hoặc gia đình người đi cùng dưới 18 tuổi; Đơn đề nghị hỗ trợ học nghề, trợ cấp khó khăn ban đầu của nạn nhân hoặc gia đình nạn nhân (đối với trường hợp dưới 18 tuổi) theo Mẫu số 07 ban hành kèm theo Nghị định số 162/2025/NĐ-CP ngày 29/6/2025 của Chính phủ quy định chi tiết một số điều và biện pháp thi hành Luật Phòng, chống mua bán người</w:t>
            </w:r>
          </w:p>
        </w:tc>
        <w:tc>
          <w:p/>
          <w:p>
            <w:pPr>
              <w:spacing w:after="0" w:before="0" w:lineRule="auto" w:line="276"/>
              <w:jc w:val="left"/>
            </w:pPr>
            <w:r>
              <w:rPr>
                <w:rFonts w:ascii="Times New Roman" w:hAnsi="Times New Roman" w:cs="Times New Roman" w:eastAsia="Times New Roman"/>
                <w:b w:val="false"/>
                <w:sz w:val="26"/>
              </w:rPr>
              <w:t>Mus07.docx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 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Ủy ban nhân dân cấp xã nơi cư trú</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chi hỗ trợ học văn hóa, học nghề, trợ cấp khó khăn ban đầu cho nạn nhân (BYT)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09/2013/NĐ-CP</w:t>
            </w:r>
          </w:p>
        </w:tc>
        <w:tc>
          <w:p/>
          <w:p>
            <w:pPr>
              <w:spacing w:after="0" w:before="0" w:lineRule="auto" w:line="276"/>
              <w:jc w:val="left"/>
            </w:pPr>
            <w:r>
              <w:rPr>
                <w:rFonts w:ascii="Times New Roman" w:hAnsi="Times New Roman" w:cs="Times New Roman" w:eastAsia="Times New Roman"/>
                <w:b w:val="false"/>
                <w:sz w:val="26"/>
              </w:rPr>
              <w:t>Nghị định 09/2013/NĐ-CP - Hướng dẫn Luật Phòng, chống mua bán người</w:t>
            </w:r>
          </w:p>
        </w:tc>
        <w:tc>
          <w:p/>
          <w:p>
            <w:pPr>
              <w:spacing w:after="0" w:before="0" w:lineRule="auto" w:line="276"/>
              <w:jc w:val="left"/>
            </w:pPr>
            <w:r>
              <w:rPr>
                <w:rFonts w:ascii="Times New Roman" w:hAnsi="Times New Roman" w:cs="Times New Roman" w:eastAsia="Times New Roman"/>
                <w:b w:val="false"/>
                <w:sz w:val="26"/>
              </w:rPr>
              <w:t>11-01-2013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35/2013/TT-BLĐTBXH</w:t>
            </w:r>
          </w:p>
        </w:tc>
        <w:tc>
          <w:p/>
          <w:p>
            <w:pPr>
              <w:spacing w:after="0" w:before="0" w:lineRule="auto" w:line="276"/>
              <w:jc w:val="left"/>
            </w:pPr>
            <w:r>
              <w:rPr>
                <w:rFonts w:ascii="Times New Roman" w:hAnsi="Times New Roman" w:cs="Times New Roman" w:eastAsia="Times New Roman"/>
                <w:b w:val="false"/>
                <w:sz w:val="26"/>
              </w:rPr>
              <w:t>Thông tư 35/2013/TT-BLĐTBXH - Hướng dẫn thi hành một số điều của Nghị định số 09/2013/NĐ-CP ngày 11 tháng 01 năm 2013 của Chính phủ quy định chi tiết thi hành một số điều của Luật Phòng, chống mua bán người</w:t>
            </w:r>
          </w:p>
        </w:tc>
        <w:tc>
          <w:p/>
          <w:p>
            <w:pPr>
              <w:spacing w:after="0" w:before="0" w:lineRule="auto" w:line="276"/>
              <w:jc w:val="left"/>
            </w:pPr>
            <w:r>
              <w:rPr>
                <w:rFonts w:ascii="Times New Roman" w:hAnsi="Times New Roman" w:cs="Times New Roman" w:eastAsia="Times New Roman"/>
                <w:b w:val="false"/>
                <w:sz w:val="26"/>
              </w:rPr>
              <w:t>30-12-2013</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08/2023/TT-BLĐTBXH</w:t>
            </w:r>
          </w:p>
        </w:tc>
        <w:tc>
          <w:p/>
          <w:p>
            <w:pPr>
              <w:spacing w:after="0" w:before="0" w:lineRule="auto" w:line="276"/>
              <w:jc w:val="left"/>
            </w:pPr>
            <w:r>
              <w:rPr>
                <w:rFonts w:ascii="Times New Roman" w:hAnsi="Times New Roman" w:cs="Times New Roman" w:eastAsia="Times New Roman"/>
                <w:b w:val="false"/>
                <w:sz w:val="26"/>
              </w:rPr>
              <w:t>Sửa đổi, bổ sung, bãi bỏ một số điều của các Thông tư, Thông tư liên tịch có quy định liên quan đến việc nộp, xuất trình sổ hộ khẩu giấy, sổ tạm trú giấy hoặc giấy tờ có yêu cầu xác nhận nơi cư trú khi thực hiện thủ tục hành chính thuộc lĩnh vực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29-08-2023</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42/2025/NĐ-CP</w:t>
            </w:r>
          </w:p>
        </w:tc>
        <w:tc>
          <w:p/>
          <w:p>
            <w:pPr>
              <w:spacing w:after="0" w:before="0" w:lineRule="auto" w:line="276"/>
              <w:jc w:val="left"/>
            </w:pPr>
            <w:r>
              <w:rPr>
                <w:rFonts w:ascii="Times New Roman" w:hAnsi="Times New Roman" w:cs="Times New Roman" w:eastAsia="Times New Roman"/>
                <w:b w:val="false"/>
                <w:sz w:val="26"/>
              </w:rPr>
              <w:t>Nghị định số 42/2025/NĐ-CP của Chính phủ: Quy định chức năng, nhiệm vụ, quyền hạn và cơ cấu tổ chức của Bộ Y tế</w:t>
            </w:r>
          </w:p>
        </w:tc>
        <w:tc>
          <w:p/>
          <w:p>
            <w:pPr>
              <w:spacing w:after="0" w:before="0" w:lineRule="auto" w:line="276"/>
              <w:jc w:val="left"/>
            </w:pPr>
            <w:r>
              <w:rPr>
                <w:rFonts w:ascii="Times New Roman" w:hAnsi="Times New Roman" w:cs="Times New Roman" w:eastAsia="Times New Roman"/>
                <w:b w:val="false"/>
                <w:sz w:val="26"/>
              </w:rPr>
              <w:t>27-02-2025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53/2024/QH15</w:t>
            </w:r>
          </w:p>
        </w:tc>
        <w:tc>
          <w:p/>
          <w:p>
            <w:pPr>
              <w:spacing w:after="0" w:before="0" w:lineRule="auto" w:line="276"/>
              <w:jc w:val="left"/>
            </w:pPr>
            <w:r>
              <w:rPr>
                <w:rFonts w:ascii="Times New Roman" w:hAnsi="Times New Roman" w:cs="Times New Roman" w:eastAsia="Times New Roman"/>
                <w:b w:val="false"/>
                <w:sz w:val="26"/>
              </w:rPr>
              <w:t>Luật số 53/2024/QH15 của Quốc hội: Luật Phòng, chống mua bán người</w:t>
            </w:r>
          </w:p>
        </w:tc>
        <w:tc>
          <w:p/>
          <w:p>
            <w:pPr>
              <w:spacing w:after="0" w:before="0" w:lineRule="auto" w:line="276"/>
              <w:jc w:val="left"/>
            </w:pPr>
            <w:r>
              <w:rPr>
                <w:rFonts w:ascii="Times New Roman" w:hAnsi="Times New Roman" w:cs="Times New Roman" w:eastAsia="Times New Roman"/>
                <w:b w:val="false"/>
                <w:sz w:val="26"/>
              </w:rPr>
              <w:t>28-11-2024</w:t>
            </w:r>
          </w:p>
        </w:tc>
        <w:tc>
          <w:p/>
        </w:tc>
      </w:tr>
      <w:tr>
        <w:tc>
          <w:p/>
          <w:p>
            <w:pPr>
              <w:spacing w:after="0" w:before="0" w:lineRule="auto" w:line="276"/>
              <w:jc w:val="left"/>
            </w:pPr>
            <w:r>
              <w:rPr>
                <w:rFonts w:ascii="Times New Roman" w:hAnsi="Times New Roman" w:cs="Times New Roman" w:eastAsia="Times New Roman"/>
                <w:b w:val="false"/>
                <w:sz w:val="26"/>
              </w:rPr>
              <w:t>162/2025/NĐ-CP</w:t>
            </w:r>
          </w:p>
        </w:tc>
        <w:tc>
          <w:p/>
          <w:p>
            <w:pPr>
              <w:spacing w:after="0" w:before="0" w:lineRule="auto" w:line="276"/>
              <w:jc w:val="left"/>
            </w:pPr>
            <w:r>
              <w:rPr>
                <w:rFonts w:ascii="Times New Roman" w:hAnsi="Times New Roman" w:cs="Times New Roman" w:eastAsia="Times New Roman"/>
                <w:b w:val="false"/>
                <w:sz w:val="26"/>
              </w:rPr>
              <w:t>Nghị định số 162/2025/NĐ-CP của Chính phủ: Quy định chi tiết một số điều và biện pháp thi hành Luật Phòng, chống mua bán người</w:t>
            </w:r>
          </w:p>
        </w:tc>
        <w:tc>
          <w:p/>
          <w:p>
            <w:pPr>
              <w:spacing w:after="0" w:before="0" w:lineRule="auto" w:line="276"/>
              <w:jc w:val="left"/>
            </w:pPr>
            <w:r>
              <w:rPr>
                <w:rFonts w:ascii="Times New Roman" w:hAnsi="Times New Roman" w:cs="Times New Roman" w:eastAsia="Times New Roman"/>
                <w:b w:val="false"/>
                <w:sz w:val="26"/>
              </w:rPr>
              <w:t>29-06-2025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Nạn nhân quy định tại khoản 1 Điều 24 Nghị định số 162/2025/NĐ-CP ngày 29/6/2025 của Chính phủ quy định chi tiết một số điều và biện pháp thi hành Luật Phòng, chống mua bán người: dưới 18 tuổi và người dưới 18 tuổi đi cùng trong thời gian lưu trú tại cơ sở trợ giúp xã hội, cơ sở hỗ trợ nạn nhân, nếu có nhu cầu được hỗ trợ học văn hóa;
b) Nạn nhân quy định tại khoản 1 Điều 24 Nghị định số 162/2025/NĐ-CP ngày 29/6/2025 của Chính phủ quy định chi tiết một số điều và biện pháp thi hành Luật Phòng, chống mua bán người: dưới 18 tuổi và người dưới 18 tuổi đi cùng trở về cộng đồng, nếu tiếp tục đi học được miễn học phí, hỗ trợ tiền mua sách giáo khoa và đồ dùng học tập theo chương trình học trong năm học đầu tiên và năm liền kề theo quy định của Chính phủ về cơ chế thu, quản lý học phí đối với cơ sở giáo dục thuộc hệ thống giáo dục quốc dân và chính sách miễn, giảm học phí, hỗ trợ chi phí học tập;
c) Nạn nhân là công dân Việt Nam, người không quốc tịch thường trú ở Việt Nam khi trở về nơi cư trú được hỗ trợ một lần tiền trợ cấp khó khăn ban đầu bằng một lần mức lương tối thiểu vùng theo quy định của Chính phủ tại thời điểm được cơ quan có thẩm quyền cấp Giấy xác nhận là nạn nhân;
d) Nạn nhân là công dân Việt Nam, người không quốc tịch thường trú ở Việt Nam khi trở về nơi cư trú nếu có nhu cầu học nghề thì được bố trí học nghề hoặc hỗ trợ một lần chi phí học nghề. Mức hỗ trợ theo chi phí đào tạo nghề ngắn hạn tương ứng tại các cơ sở đào tạo nghề ở địa phương nhưng tối đa không vượt quá mức quy định của Bộ Tài chính quy định quản lý và sử dụng kinh phí hỗ trợ đào tạo trình độ sơ cấp và đào tạo dưới 03 tháng.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https://thutuc.dichvucong.gov.vn/p/home/dvc-tthc-thu-tuc-hanh-chinh-chi-tiet.html?ma_thu_tuc=5596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2025-12-02T12:14:20Z</dcterms:created>
  <dc:creator>Apache POI</dc:creator>
</cp:coreProperties>
</file>