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2.002315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3246/QĐ-BYT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đủ điều kiện kinh doanh dược với phạm vi thử tương đương sinh học của thuốc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Dược phẩm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Cơ sở thử tương đương sinh học của thuốc nộp hồ sơ theo đúng quy định đến Cục Quản lý Dược, Bộ Y tế.
Bước 2: Cơ quan quản lý nhà nước tiếp nhận hồ sơ, triển khai đánh giá và việc đánh giá, đoàn đánh giá:
1. Trường hợp quy định tại Điểm a, b Khoản 3 Điều 1 Thông tư số 10/2020/TT-BYT ngày 11/6/2020: theo quy định tại Thông tư số 04/2018/TT-BYT và Thông tư 29/2018/TT-BYT.
2. Trường hợp quy định tại Điểm c Khoản 3 Điều 1 Thông tư số 10/2020/TT-BYT ngày 11/6/2020:
a) Đối với cơ sở chưa có Giấy chứng nhận GLP hoặc Báo cáo đánh giá kết luận cơ sở đáp ứng GLP: Trình tự tiếp nhận hồ sơ, triển khai đánh giá và việc đánh giá, đoàn đánh giá theo quy định tại Thông tư số 04/2018/TT-BYT và Thông tư 29/2018/TT-BYT.
b) Đối với cơ sở đã được cấp Giấy chứng nhận GLP hoặc Báo cáo đánh giá kết luận cơ sở đáp ứng GLP: Cục Quản lý Dược phối hợp với Cục Khoa học công nghệ và Đào tạo tiến hành đánh giá khu vực lưu trú, theo dõi người sử dụng thuốc phục vụ cho việc thử tương đương sinh học của thuốc, phương tiện cấp cứu tại cơ sở trong thời hạn 15 ngày, kể từ ngày nhận đủ hồ sơ hợp lệ.
Bước 3: Xử lý kết quả đánh giá cơ sở đủ điều kiện thử tương đương sinh học của thuốc:
1. Trường hợp quy định tại Điểm a Khoản 3 Điều 1 Thông tư số 10/2020/TT-BYT ngày 11/6/2020:
Trường hợp cơ sở thử tương đương sinh học của thuốc đã có Giấy chứng nhận GLP, GCP hoặc Báo cáo đánh giá kết luận cơ sở đáp ứng GLP, GCP: Sau khi kiểm tra, đánh giá hồ sơ, Cơ quan quản lý có thẩm quyền trình Bộ trưởng Bộ Y tế cấp Giấy chứng nhận đủ điều kiện kinh doanh dược với phạm vi thử tương đương sinh học của thuốc (đối với cơ sở kinh doanh dịch vụ thử tương đương sinh học của thuốc) hoặc có văn bản thông báo cơ sở đáp ứng điều kiện thực hiện thử tương đương sinh học của thuốc theo Mẫu số 02 ban hành kèm theo Thông tư này trong thời hạn 15 ngày, kể từ ngày nhận đủ hồ sơ hợp lệ.
2. Trường hợp quy định tại Điểm b Khoản 3 Điều 1 Thông tư số 10/2020/TT-BYT ngày 11/6/2020:
a) Đối với cơ sở chưa có Giấy chứng nhận GLP hoặc Báo cáo đánh giá kết luận cơ sở đáp ứng GLP: Việc xử lý kết quả đánh giá và cấp Giấy chứng nhận đủ điều kiện kinh doanh dược với phạm vi thử tương đương sinh học của thuốc (đối với cơ sở kinh doanh dịch vụ thử tương đương sinh học của thuốc), Giấy chứng nhận GLP hoặc không cấp các giấy chứng nhận này đối với cơ sở đủ điều kiện thử tương đương sinh học của thuốc thực hiện theo quy định tại Điều 8 Thông tư số 04/2018/TT-BYT. 
Đối với cơ sở thử tương đương sinh học của thuốc không thuộc diện cấp Giấy chứng nhận đủ điều kiện kinh doanh dược thì khi cấp Giấy chứng nhận GLP, Cơ quan quản lý có thẩm quyền phải đồng thời có văn bản thông báo cơ sở đáp ứng điều kiện thực hiện thử tương đương sinh học của thuốc theo Mẫu số 02 ban hành kèm theo Thông tư này.  
b) Đối với cơ sở đã được cấp Giấy chứng nhận GLP hoặc Báo cáo đánh giá kết luận cơ sở đáp ứng GLP: Sau khi kiểm tra, đánh giá hồ sơ, Cơ quan quản lý có thẩm quyền trình Bộ trưởng Bộ Y tế cấp Giấy chứng nhận đủ điều kiện kinh doanh dược với phạm vi thử tương đương sinh học của thuốc (đối với cơ sở kinh doanh dịch vụ thử tương đương sinh học của thuốc) hoặc có văn bản thông báo cơ sở đáp ứng điều kiện thực hiện thử tương đương sinh học của thuốc theo Mẫu số 02 ban hành kèm theo Thông tư này trong thời hạn 15 ngày, kể từ ngày nhận đủ hồ sơ hợp lệ.
3. Trường hợp quy định tại Điểm c Khoản 3 Điều 1 Thông tư số 10/2020/TT-BYT ngày 11/6/2020:
a) Đối với cơ sở chưa có Giấy chứng nhận GLP hoặc Báo cáo đánh giá kết luận cơ sở đáp ứng GLP: việc xử lý kết quả đánh giá được thực hiện theo quy định tại điểm a khoản 2 Điều 4 Thông tư số 10/2020/TT-BYT.
b) Đối với cơ sở đã được cấp Giấy chứng nhận GLP hoặc Báo cáo đánh giá kết luận cơ sở đáp ứng GLP: 
- Trường hợp báo cáo đánh giá việc đáp ứng điều kiện của cơ sở thử tương đương sinh học của thuốc kết luận cơ sở thử tương đương sinh học đáp ứng yêu cầu về khu vực lưu trú, theo dõi người sử dụng thuốc phục vụ cho việc thử tương đương sinh học của thuốc, kèm phương tiện cấp cứu theo quy định tại Phụ lục ban hành kèm theo Thông tư này, Cơ quan quản lý có thẩm quyền trình Bộ trưởng Bộ Y tế cấp Giấy chứng nhận đủ điều kiện kinh doanh dược với phạm vi thử tương đương sinh học của thuốc (đối với cơ sở kinh doanh dịch vụ thử tương đương sinh học của thuốc) hoặc có văn bản thông báo cơ sở đáp ứng điều kiện thực hiện thử tương đương sinh học của thuốc theo Mẫu số 02 ban hành kèm theo Thông tư này trong thời hạn 10 ngày, kể từ ngày ký biên bản đánh giá.
- Trường hợp báo cáo đánh giá việc đáp ứng điều kiện của cơ sở thử tương đương sinh học của thuốc kết luận cơ sở thử tương đương sinh học cần khắc phục, sửa chữa: trong thời hạn 05 ngày làm việc, kể từ ngày kết thúc việc đánh giá thực tế tại cơ sở thử tương đương sinh học và ký biên bản đánh giá, Cơ quan quản lý có thẩm quyền gửi văn bản yêu cầu cơ sở thử tương đương sinh học tiến hành khắc phục, sửa chữa tồn tại được ghi trong Báo cáo đánh giá.
Sau khi hoàn thành việc khắc phục, sửa chữa, cơ sở thử tương đương sinh học phải có văn bản báo cáo kèm theo bằng chứng chứng minh (hồ sơ tài liệu, hình ảnh, video, giấy chứng nhận) đã hoàn thành việc khắc phục, sửa chữa tồn tại được ghi trong Báo cáo đánh giá;
Trong thời hạn 20 ngày, kể từ ngày nhận được văn bản báo cáo khắc phục, Cục Quản lý Dược phối hợp với Cục Khoa học công nghệ và Đào tạo đánh giá kết quả khắc phục của cơ sở thử tương đương sinh học và kết luận về tình trạng đáp ứng điều kiện của cơ sở thử tương đương sinh học.
Trường hợp việc khắc phục của cơ sở thử tương đương sinh học đã đáp ứng yêu cầu: Cơ quan quản lý có thẩm quyền trình Bộ trưởng Bộ Y tế cấp Giấy chứng nhận đủ điều kiện kinh doanh dược với phạm vi thử tương đương sinh học của thuốc (đối với cơ sở kinh doanh dịch vụ thử tương đương sinh học của thuốc) hoặc có văn bản thông báo cơ sở đáp ứng điều kiện thực hiện thử tương đương sinh học của thuốc Mẫu số 02 ban hành kèm theo Thông tư này;
Trường hợp việc khắc phục của cơ sở thử tương đương sinh học chưa đáp ứng yêu cầu, Cơ quan quản lý có thẩm quyền có văn bản trả lời, trong đó nêu rõ lý do gửi cơ sở đề nghị. 
Trong thời hạn 06 tháng, kể từ ngày Cơ quan quản lý có thẩm quyền có văn bản yêu cầu sửa đổi, bổ sung, cơ sở thử tương đương sinh học phải nộp hồ sơ sửa đổi, bổ sung theo yêu cầu. Sau thời hạn trên, cơ sở thử tương đương sinh học không sửa đổi, bổ sung hoặc sau 12 tháng, kể từ ngày nộp hồ sơ đề nghị lần đầu mà hồ sơ bổ sung không đáp ứng yêu cầu thì hồ sơ đã nộp không còn giá trị.
- Trường hợp báo cáo đánh giá việc đáp ứng điều kiện của cơ sở thử tương đương sinh học của thuốc kết luận cơ sở thử tương đương sinh học không đáp ứng yêu cầu về khu vực lưu trú, theo dõi người sử dụng thuốc phục vụ cho việc thử tương đương sinh học của thuốc, kèm phương tiện cấp cứu theo quy định tại Phụ lục ban hành kèm theo Thông tư này: trong thời hạn 05 ngày, kể từ ngày kết thúc việc đánh giá thực tế tại cơ sở thử tương đương sinh học và ký biên bản đánh giá, Cơ quan quản lý có thẩm quyền có văn bản thông báo về việc không đáp ứng điều kiện kèm theo Báo cáo đánh giá việc đáp ứng điều kiện của cơ sở thử tương đương sinh học của thuốc gửi cơ sở.
4. Trong thời hạn 05 ngày làm việc, kể từ ngày cấp Giấy chứng nhận đủ điều kiện kinh doanh dược với phạm vi thử tương đương sinh học của thuốc hoặc Giấy chứng nhận GLP, Giấy chứng nhận đạt GCP, văn bản thông báo cơ sở đáp ứng điều kiện thực hiện thử tương đương sinh học của thuốc, Cục Quản lý Dược công bố trên Cổng Thông tin điện tử của Bộ Y tế và Trang Thông tin điện tử của Cục Quản lý Dược các thông tin sau đây:
a) Tên và địa chỉ cơ sở thử tương đương sinh học của thuốc;
b) Họ tên người chịu trách nhiệm chuyên môn về dược, số Chứng chỉ hành nghề dược;
c) Số Giấy chứng nhận đủ điều kiện kinh doanh dược và số Giấy chứng nhận GLP, GCP (nếu có);
d) Thời gian hết hiệu lực của việc đánh giá đáp ứng điều kiện thử tương đương sinh học của thuốc và ngày đánh giá định kỳ tiếp theo;
đ) Phạm vi hoạt động của cơ sở thử tương đương sinh học của thuốc.</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35 Ngày làm việc</w:t>
            </w:r>
          </w:p>
        </w:tc>
        <w:tc>
          <w:p/>
          <w:p>
            <w:pPr>
              <w:spacing w:after="0" w:before="0" w:lineRule="auto" w:line="276"/>
              <w:jc w:val="left"/>
            </w:pPr>
            <w:r>
              <w:rPr>
                <w:rFonts w:ascii="Times New Roman" w:hAnsi="Times New Roman" w:cs="Times New Roman" w:eastAsia="Times New Roman"/>
                <w:b w:val="false"/>
                <w:sz w:val="26"/>
              </w:rPr>
              <w:t>Phí : 30.000.000 Đồng</w:t>
            </w:r>
          </w:p>
        </w:tc>
        <w:tc>
          <w:p/>
          <w:p>
            <w:pPr>
              <w:spacing w:after="0" w:before="0" w:lineRule="auto" w:line="276"/>
              <w:jc w:val="left"/>
            </w:pPr>
            <w:r>
              <w:rPr>
                <w:rFonts w:ascii="Times New Roman" w:hAnsi="Times New Roman" w:cs="Times New Roman" w:eastAsia="Times New Roman"/>
                <w:b w:val="false"/>
                <w:sz w:val="26"/>
              </w:rPr>
              <w:t>35 ngày làm việc kể tử ngày nhận đủ hồ sơ và đáp ứng việc đánh giá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35 Ngày làm việc</w:t>
            </w:r>
          </w:p>
        </w:tc>
        <w:tc>
          <w:p/>
          <w:p>
            <w:pPr>
              <w:spacing w:after="0" w:before="0" w:lineRule="auto" w:line="276"/>
              <w:jc w:val="left"/>
            </w:pPr>
            <w:r>
              <w:rPr>
                <w:rFonts w:ascii="Times New Roman" w:hAnsi="Times New Roman" w:cs="Times New Roman" w:eastAsia="Times New Roman"/>
                <w:b w:val="false"/>
                <w:sz w:val="26"/>
              </w:rPr>
              <w:t>Phí : 30.000.000 Đồng</w:t>
            </w:r>
          </w:p>
        </w:tc>
        <w:tc>
          <w:p/>
          <w:p>
            <w:pPr>
              <w:spacing w:after="0" w:before="0" w:lineRule="auto" w:line="276"/>
              <w:jc w:val="left"/>
            </w:pPr>
            <w:r>
              <w:rPr>
                <w:rFonts w:ascii="Times New Roman" w:hAnsi="Times New Roman" w:cs="Times New Roman" w:eastAsia="Times New Roman"/>
                <w:b w:val="false"/>
                <w:sz w:val="26"/>
              </w:rPr>
              <w:t>35 ngày làm việc kể tử ngày nhận đủ hồ sơ và đáp ứng việc đánh giá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35 Ngày làm việc</w:t>
            </w:r>
          </w:p>
        </w:tc>
        <w:tc>
          <w:p/>
          <w:p>
            <w:pPr>
              <w:spacing w:after="0" w:before="0" w:lineRule="auto" w:line="276"/>
              <w:jc w:val="left"/>
            </w:pPr>
            <w:r>
              <w:rPr>
                <w:rFonts w:ascii="Times New Roman" w:hAnsi="Times New Roman" w:cs="Times New Roman" w:eastAsia="Times New Roman"/>
                <w:b w:val="false"/>
                <w:sz w:val="26"/>
              </w:rPr>
              <w:t>Phí : 30.000.000 Đồng</w:t>
            </w:r>
          </w:p>
        </w:tc>
        <w:tc>
          <w:p/>
          <w:p>
            <w:pPr>
              <w:spacing w:after="0" w:before="0" w:lineRule="auto" w:line="276"/>
              <w:jc w:val="left"/>
            </w:pPr>
            <w:r>
              <w:rPr>
                <w:rFonts w:ascii="Times New Roman" w:hAnsi="Times New Roman" w:cs="Times New Roman" w:eastAsia="Times New Roman"/>
                <w:b w:val="false"/>
                <w:sz w:val="26"/>
              </w:rPr>
              <w:t>35 ngày làm việc kể tử ngày nhận đủ hồ sơ và đáp ứng việc đánh giá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a) Đối với tổ chức quy định tại Điểm a Khoản 3 Điều 1 Thông tư số 10/2020/TT-BYT ngày 11/6/2020:</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thực hiện thử tương đương sinh học của thuốc theo Mẫu số 01 ban hành kèm theo Thông tư số 10/2020/TT-BYT.</w:t>
            </w:r>
          </w:p>
        </w:tc>
        <w:tc>
          <w:p/>
          <w:p>
            <w:pPr>
              <w:spacing w:after="0" w:before="0" w:lineRule="auto" w:line="276"/>
              <w:jc w:val="left"/>
            </w:pPr>
            <w:r>
              <w:rPr>
                <w:rFonts w:ascii="Times New Roman" w:hAnsi="Times New Roman" w:cs="Times New Roman" w:eastAsia="Times New Roman"/>
                <w:b w:val="false"/>
                <w:sz w:val="26"/>
              </w:rPr>
              <w:t>phlc.docx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b) Đối với tổ chức quy định tại Điểm b Khoản 3 Điều 1 Thông tư số 10/2020/TT-BYT ngày 11/6/2020:</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Hồ sơ quy định tại Điều 5 Thông tư số 04/2018/TT-BYT.</w:t>
            </w:r>
          </w:p>
        </w:tc>
        <w:tc>
          <w:p/>
          <w:p>
            <w:pPr>
              <w:spacing w:after="0" w:before="0" w:lineRule="auto" w:line="276"/>
              <w:jc w:val="left"/>
            </w:pPr>
            <w:r>
              <w:rPr>
                <w:rFonts w:ascii="Times New Roman" w:hAnsi="Times New Roman" w:cs="Times New Roman" w:eastAsia="Times New Roman"/>
                <w:b w:val="false"/>
                <w:sz w:val="26"/>
              </w:rPr>
              <w:t>phlc.docx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Hợp đồng liên kết với cơ sở khám bệnh, chữa bệnh đáp ứng GCP cho giai đoạn 1 của thử thuốc trên lâm sàng; - Bản sao Giấy chứng nhận GCP cho giai đoạn 1 của cơ sở liên kết hoặc Báo cáo đánh giá kết luận cơ sở liên kết đáp ứng GCP cho giai đoạn 1;</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 xml:space="preserve">c) Đối với tổ chức quy định tại Điểm c Khoản 3 Điều 1 Thông tư số 10/2020/TT-BYT ngày 11/6/2020: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Bảng kê danh mục cơ sở vật chất, kỹ thuật, phương tiện cấp cứu của cơ sở thử tương đương sinh học của thuốc; - Hợp đồng liên kết với cơ sở khám bệnh, chữa bệnh đáp ứng GCP;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Giấy chứng nhận đạt GCP của cơ sở liên kết hoặc Báo cáo đánh giá kết luận cơ sở liên kết đáp ứng GCP.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Quản lý Dược - Bộ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kinh doanh dược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xml:space="preserve">04/2018/TT-BYT </w:t>
            </w:r>
          </w:p>
        </w:tc>
        <w:tc>
          <w:p/>
          <w:p>
            <w:pPr>
              <w:spacing w:after="0" w:before="0" w:lineRule="auto" w:line="276"/>
              <w:jc w:val="left"/>
            </w:pPr>
            <w:r>
              <w:rPr>
                <w:rFonts w:ascii="Times New Roman" w:hAnsi="Times New Roman" w:cs="Times New Roman" w:eastAsia="Times New Roman"/>
                <w:b w:val="false"/>
                <w:sz w:val="26"/>
              </w:rPr>
              <w:t>Quy định về Thực hành tốt phòng thí nghiệm</w:t>
            </w:r>
          </w:p>
        </w:tc>
        <w:tc>
          <w:p/>
          <w:p>
            <w:pPr>
              <w:spacing w:after="0" w:before="0" w:lineRule="auto" w:line="276"/>
              <w:jc w:val="left"/>
            </w:pPr>
            <w:r>
              <w:rPr>
                <w:rFonts w:ascii="Times New Roman" w:hAnsi="Times New Roman" w:cs="Times New Roman" w:eastAsia="Times New Roman"/>
                <w:b w:val="false"/>
                <w:sz w:val="26"/>
              </w:rPr>
              <w:t>09-02-2018</w:t>
            </w:r>
          </w:p>
        </w:tc>
        <w:tc>
          <w:p/>
          <w:p>
            <w:pPr>
              <w:spacing w:after="0" w:before="0" w:lineRule="auto" w:line="276"/>
              <w:jc w:val="left"/>
            </w:pPr>
            <w:r>
              <w:rPr>
                <w:rFonts w:ascii="Times New Roman" w:hAnsi="Times New Roman" w:cs="Times New Roman" w:eastAsia="Times New Roman"/>
                <w:b w:val="false"/>
                <w:sz w:val="26"/>
              </w:rPr>
              <w:t>Bộ Y tế</w:t>
            </w:r>
          </w:p>
        </w:tc>
      </w:tr>
      <w:tr>
        <w:tc>
          <w:p/>
          <w:p>
            <w:pPr>
              <w:spacing w:after="0" w:before="0" w:lineRule="auto" w:line="276"/>
              <w:jc w:val="left"/>
            </w:pPr>
            <w:r>
              <w:rPr>
                <w:rFonts w:ascii="Times New Roman" w:hAnsi="Times New Roman" w:cs="Times New Roman" w:eastAsia="Times New Roman"/>
                <w:b w:val="false"/>
                <w:sz w:val="26"/>
              </w:rPr>
              <w:t>29/2018/TT-BYT</w:t>
            </w:r>
          </w:p>
        </w:tc>
        <w:tc>
          <w:p/>
          <w:p>
            <w:pPr>
              <w:spacing w:after="0" w:before="0" w:lineRule="auto" w:line="276"/>
              <w:jc w:val="left"/>
            </w:pPr>
            <w:r>
              <w:rPr>
                <w:rFonts w:ascii="Times New Roman" w:hAnsi="Times New Roman" w:cs="Times New Roman" w:eastAsia="Times New Roman"/>
                <w:b w:val="false"/>
                <w:sz w:val="26"/>
              </w:rPr>
              <w:t>Thông tư 29/2018/TT-BYT Ban hành Thông tư quy định về thử thuốc trên lâm sàng.</w:t>
            </w:r>
          </w:p>
        </w:tc>
        <w:tc>
          <w:p/>
          <w:p>
            <w:pPr>
              <w:spacing w:after="0" w:before="0" w:lineRule="auto" w:line="276"/>
              <w:jc w:val="left"/>
            </w:pPr>
            <w:r>
              <w:rPr>
                <w:rFonts w:ascii="Times New Roman" w:hAnsi="Times New Roman" w:cs="Times New Roman" w:eastAsia="Times New Roman"/>
                <w:b w:val="false"/>
                <w:sz w:val="26"/>
              </w:rPr>
              <w:t>29-10-2018</w:t>
            </w:r>
          </w:p>
        </w:tc>
        <w:tc>
          <w:p/>
          <w:p>
            <w:pPr>
              <w:spacing w:after="0" w:before="0" w:lineRule="auto" w:line="276"/>
              <w:jc w:val="left"/>
            </w:pPr>
            <w:r>
              <w:rPr>
                <w:rFonts w:ascii="Times New Roman" w:hAnsi="Times New Roman" w:cs="Times New Roman" w:eastAsia="Times New Roman"/>
                <w:b w:val="false"/>
                <w:sz w:val="26"/>
              </w:rPr>
              <w:t>Bộ Y tế</w:t>
            </w:r>
          </w:p>
        </w:tc>
      </w:tr>
      <w:tr>
        <w:tc>
          <w:p/>
          <w:p>
            <w:pPr>
              <w:spacing w:after="0" w:before="0" w:lineRule="auto" w:line="276"/>
              <w:jc w:val="left"/>
            </w:pPr>
            <w:r>
              <w:rPr>
                <w:rFonts w:ascii="Times New Roman" w:hAnsi="Times New Roman" w:cs="Times New Roman" w:eastAsia="Times New Roman"/>
                <w:b w:val="false"/>
                <w:sz w:val="26"/>
              </w:rPr>
              <w:t>54/2017/NĐ-CP</w:t>
            </w:r>
          </w:p>
        </w:tc>
        <w:tc>
          <w:p/>
          <w:p>
            <w:pPr>
              <w:spacing w:after="0" w:before="0" w:lineRule="auto" w:line="276"/>
              <w:jc w:val="left"/>
            </w:pPr>
            <w:r>
              <w:rPr>
                <w:rFonts w:ascii="Times New Roman" w:hAnsi="Times New Roman" w:cs="Times New Roman" w:eastAsia="Times New Roman"/>
                <w:b w:val="false"/>
                <w:sz w:val="26"/>
              </w:rPr>
              <w:t>Nghị định 54/2017/NĐ-CP</w:t>
            </w:r>
          </w:p>
        </w:tc>
        <w:tc>
          <w:p/>
          <w:p>
            <w:pPr>
              <w:spacing w:after="0" w:before="0" w:lineRule="auto" w:line="276"/>
              <w:jc w:val="left"/>
            </w:pPr>
            <w:r>
              <w:rPr>
                <w:rFonts w:ascii="Times New Roman" w:hAnsi="Times New Roman" w:cs="Times New Roman" w:eastAsia="Times New Roman"/>
                <w:b w:val="false"/>
                <w:sz w:val="26"/>
              </w:rPr>
              <w:t>08-05-2017</w:t>
            </w:r>
          </w:p>
        </w:tc>
        <w:tc>
          <w:p/>
        </w:tc>
      </w:tr>
      <w:tr>
        <w:tc>
          <w:p/>
          <w:p>
            <w:pPr>
              <w:spacing w:after="0" w:before="0" w:lineRule="auto" w:line="276"/>
              <w:jc w:val="left"/>
            </w:pPr>
            <w:r>
              <w:rPr>
                <w:rFonts w:ascii="Times New Roman" w:hAnsi="Times New Roman" w:cs="Times New Roman" w:eastAsia="Times New Roman"/>
                <w:b w:val="false"/>
                <w:sz w:val="26"/>
              </w:rPr>
              <w:t>105/2016/QH13</w:t>
            </w:r>
          </w:p>
        </w:tc>
        <w:tc>
          <w:p/>
          <w:p>
            <w:pPr>
              <w:spacing w:after="0" w:before="0" w:lineRule="auto" w:line="276"/>
              <w:jc w:val="left"/>
            </w:pPr>
            <w:r>
              <w:rPr>
                <w:rFonts w:ascii="Times New Roman" w:hAnsi="Times New Roman" w:cs="Times New Roman" w:eastAsia="Times New Roman"/>
                <w:b w:val="false"/>
                <w:sz w:val="26"/>
              </w:rPr>
              <w:t>Luật 105/2016/QH13</w:t>
            </w:r>
          </w:p>
        </w:tc>
        <w:tc>
          <w:p/>
          <w:p>
            <w:pPr>
              <w:spacing w:after="0" w:before="0" w:lineRule="auto" w:line="276"/>
              <w:jc w:val="left"/>
            </w:pPr>
            <w:r>
              <w:rPr>
                <w:rFonts w:ascii="Times New Roman" w:hAnsi="Times New Roman" w:cs="Times New Roman" w:eastAsia="Times New Roman"/>
                <w:b w:val="false"/>
                <w:sz w:val="26"/>
              </w:rPr>
              <w:t>06-04-2016</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https://thutuc.dichvucong.gov.vn/p/home/dvc-tthc-thu-tuc-hanh-chinh-chi-tiet.html?ma_thu_tuc=232627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2025-12-02T12:15:32Z</dcterms:created>
  <dc:creator>Apache POI</dc:creator>
</cp:coreProperties>
</file>