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6364" w14:textId="77777777" w:rsidR="00ED4894" w:rsidRDefault="00846D13">
      <w:pPr>
        <w:spacing w:after="300" w:line="276" w:lineRule="auto"/>
        <w:jc w:val="center"/>
      </w:pPr>
      <w:r>
        <w:rPr>
          <w:rFonts w:ascii="Times New Roman" w:eastAsia="Times New Roman" w:hAnsi="Times New Roman" w:cs="Times New Roman"/>
          <w:b/>
          <w:sz w:val="26"/>
        </w:rPr>
        <w:t>Chi tiết thủ tục hành chính</w:t>
      </w:r>
    </w:p>
    <w:p w14:paraId="0203C993" w14:textId="77777777" w:rsidR="00ED4894" w:rsidRDefault="00846D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3.000499</w:t>
      </w:r>
    </w:p>
    <w:p w14:paraId="6658C280" w14:textId="77777777" w:rsidR="00ED4894" w:rsidRDefault="00846D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2555/QĐ-BYT</w:t>
      </w:r>
    </w:p>
    <w:p w14:paraId="762A87E2" w14:textId="77777777" w:rsidR="00ED4894" w:rsidRDefault="00846D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Thanh toán chi phí khám bệnh, chữa bệnh giữa cơ quan bảo hiểm xã hội và cơ sở khám bệnh, chữa bệnh</w:t>
      </w:r>
    </w:p>
    <w:p w14:paraId="58ABE2B6" w14:textId="77777777" w:rsidR="00ED4894" w:rsidRDefault="00846D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55253276" w14:textId="77777777" w:rsidR="00ED4894" w:rsidRDefault="00846D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F0DCA9D" w14:textId="77777777" w:rsidR="00ED4894" w:rsidRDefault="00846D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14:paraId="1F22922C" w14:textId="77777777" w:rsidR="00ED4894" w:rsidRDefault="00846D13">
      <w:pPr>
        <w:spacing w:after="0" w:line="276" w:lineRule="auto"/>
        <w:jc w:val="both"/>
      </w:pPr>
      <w:r>
        <w:rPr>
          <w:rFonts w:ascii="Times New Roman" w:eastAsia="Times New Roman" w:hAnsi="Times New Roman" w:cs="Times New Roman"/>
          <w:b/>
          <w:sz w:val="26"/>
        </w:rPr>
        <w:t xml:space="preserve">Trình tự thực hiện: </w:t>
      </w:r>
    </w:p>
    <w:p w14:paraId="0C4E711D"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Trình tự tạm ứng kinh phí của cơ quan bảo hiểm xã hội cho cơ sở khám bệnh, chữa bệnh bảo hiểm y tế được thực hiện hằng quý như sau</w:t>
      </w:r>
    </w:p>
    <w:p w14:paraId="385611D2" w14:textId="77777777" w:rsidR="00ED4894" w:rsidRDefault="00846D13">
      <w:pPr>
        <w:spacing w:after="0" w:line="276" w:lineRule="auto"/>
        <w:jc w:val="both"/>
      </w:pPr>
      <w:r>
        <w:rPr>
          <w:rFonts w:ascii="Times New Roman" w:eastAsia="Times New Roman" w:hAnsi="Times New Roman" w:cs="Times New Roman"/>
          <w:sz w:val="26"/>
        </w:rPr>
        <w:t>+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p>
    <w:p w14:paraId="58F6662D" w14:textId="77777777" w:rsidR="00ED4894" w:rsidRDefault="00846D13">
      <w:pPr>
        <w:spacing w:after="0" w:line="276" w:lineRule="auto"/>
        <w:jc w:val="both"/>
      </w:pPr>
      <w:r>
        <w:rPr>
          <w:rFonts w:ascii="Times New Roman" w:eastAsia="Times New Roman" w:hAnsi="Times New Roman" w:cs="Times New Roman"/>
          <w:sz w:val="26"/>
        </w:rPr>
        <w:t xml:space="preserve">+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1 Điều 32 của Luật Bảo hiểm y </w:t>
      </w:r>
      <w:r>
        <w:rPr>
          <w:rFonts w:ascii="Times New Roman" w:eastAsia="Times New Roman" w:hAnsi="Times New Roman" w:cs="Times New Roman"/>
          <w:sz w:val="26"/>
        </w:rPr>
        <w:t>tế.</w:t>
      </w:r>
    </w:p>
    <w:p w14:paraId="7FBAB1B9"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Trình tự thanh toán, quyết toán giữa cơ sở khám bệnh, chữa bệnh và cơ quan bảo hiểm xã hội được thực hiện như sau</w:t>
      </w:r>
    </w:p>
    <w:p w14:paraId="3840FD32" w14:textId="77777777" w:rsidR="00ED4894" w:rsidRDefault="00846D13">
      <w:pPr>
        <w:spacing w:after="0" w:line="276" w:lineRule="auto"/>
        <w:jc w:val="both"/>
      </w:pPr>
      <w:r>
        <w:rPr>
          <w:rFonts w:ascii="Times New Roman" w:eastAsia="Times New Roman" w:hAnsi="Times New Roman" w:cs="Times New Roman"/>
          <w:sz w:val="26"/>
        </w:rPr>
        <w:t>Bước 1: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p>
    <w:p w14:paraId="303E2BBA" w14:textId="77777777" w:rsidR="00ED4894" w:rsidRDefault="00846D13">
      <w:pPr>
        <w:spacing w:after="0" w:line="276" w:lineRule="auto"/>
        <w:jc w:val="both"/>
      </w:pPr>
      <w:r>
        <w:rPr>
          <w:rFonts w:ascii="Times New Roman" w:eastAsia="Times New Roman" w:hAnsi="Times New Roman" w:cs="Times New Roman"/>
          <w:sz w:val="26"/>
        </w:rPr>
        <w:t>Bước 2: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w:t>
      </w:r>
      <w:r>
        <w:rPr>
          <w:rFonts w:ascii="Times New Roman" w:eastAsia="Times New Roman" w:hAnsi="Times New Roman" w:cs="Times New Roman"/>
          <w:sz w:val="26"/>
        </w:rPr>
        <w:t xml:space="preserve"> từ ngày cơ quan bảo hiểm xã hội nhận được báo cáo quyết toán quý 4 của cơ sở khám bệnh, chữa bệnh.</w:t>
      </w:r>
    </w:p>
    <w:p w14:paraId="5C2039C3" w14:textId="77777777" w:rsidR="00ED4894" w:rsidRDefault="00846D13">
      <w:pPr>
        <w:spacing w:after="0" w:line="276" w:lineRule="auto"/>
        <w:jc w:val="both"/>
      </w:pPr>
      <w:r>
        <w:rPr>
          <w:rFonts w:ascii="Times New Roman" w:eastAsia="Times New Roman" w:hAnsi="Times New Roman" w:cs="Times New Roman"/>
          <w:sz w:val="26"/>
        </w:rPr>
        <w:lastRenderedPageBreak/>
        <w:t>Bước 3: Trong thời hạn 10 ngày kể từ ngày thông báo số quyết toán chi phí khám bệnh, chữa bệnh bảo hiểm y tế, cơ quan bảo hiểm xã hội phải hoàn thành việc thanh toán với cơ sở khám bệnh, chữa bệnh.</w:t>
      </w:r>
    </w:p>
    <w:p w14:paraId="5B54DAB6"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thanh toán chi phí thuốc, thiết bị y tế được điều chuyển giữa các cơ sở khám bệnh, chữa bệnh bảo hiểm y tế</w:t>
      </w:r>
    </w:p>
    <w:p w14:paraId="61574F08" w14:textId="77777777" w:rsidR="00ED4894" w:rsidRDefault="00846D13">
      <w:pPr>
        <w:spacing w:after="0" w:line="276" w:lineRule="auto"/>
        <w:jc w:val="both"/>
      </w:pPr>
      <w:r>
        <w:rPr>
          <w:rFonts w:ascii="Times New Roman" w:eastAsia="Times New Roman" w:hAnsi="Times New Roman" w:cs="Times New Roman"/>
          <w:sz w:val="26"/>
        </w:rPr>
        <w:t>Bước 1: Cơ sở khám bệnh, chữa bệnh có trách nhiệm thông báo về việc điều chuyển thuốc, thiết bị y tế và các khoản chi phí mà người bệnh bảo hiểm y tế phải chi trả trong trường hợp người bệnh phải trả thêm chi phí ngoài chi phí cùng chi trả theo quy định</w:t>
      </w:r>
    </w:p>
    <w:p w14:paraId="6D7FDAB8" w14:textId="77777777" w:rsidR="00ED4894" w:rsidRDefault="00846D13">
      <w:pPr>
        <w:spacing w:after="0" w:line="276" w:lineRule="auto"/>
        <w:jc w:val="both"/>
      </w:pPr>
      <w:r>
        <w:rPr>
          <w:rFonts w:ascii="Times New Roman" w:eastAsia="Times New Roman" w:hAnsi="Times New Roman" w:cs="Times New Roman"/>
          <w:sz w:val="26"/>
        </w:rPr>
        <w:t>Bước 2: Cơ sở điều chuyển thuốc, thiết bị y tế và cơ sở nhận thuốc, thiết bị y tế có văn bản giao nhận;</w:t>
      </w:r>
    </w:p>
    <w:p w14:paraId="5CF6A580" w14:textId="77777777" w:rsidR="00ED4894" w:rsidRDefault="00846D13">
      <w:pPr>
        <w:spacing w:after="0" w:line="276" w:lineRule="auto"/>
        <w:jc w:val="both"/>
      </w:pPr>
      <w:r>
        <w:rPr>
          <w:rFonts w:ascii="Times New Roman" w:eastAsia="Times New Roman" w:hAnsi="Times New Roman" w:cs="Times New Roman"/>
          <w:sz w:val="26"/>
        </w:rPr>
        <w:t>Bước 3: Quỹ bảo hiểm y tế thanh toán chi phí thuốc, thiết bị y tế trong phạm vi quyền lợi và mức hưởng của người tham gia bảo hiểm y tế theo quy định cho cơ sở khám bệnh, chữa bệnh nơi nhận theo giá thanh toán bảo hiểm y tế của cơ sở khám bệnh, chữa bệnh nơi chuyển thuốc, thiết bị y tế. Các chi phí khác do người bệnh thanh toán cho cơ sở khám bệnh, chữa bệnh nơi điều trị;</w:t>
      </w:r>
    </w:p>
    <w:p w14:paraId="7D3805A0" w14:textId="77777777" w:rsidR="00ED4894" w:rsidRDefault="00846D13">
      <w:pPr>
        <w:spacing w:after="0" w:line="276" w:lineRule="auto"/>
        <w:jc w:val="both"/>
      </w:pPr>
      <w:r>
        <w:rPr>
          <w:rFonts w:ascii="Times New Roman" w:eastAsia="Times New Roman" w:hAnsi="Times New Roman" w:cs="Times New Roman"/>
          <w:sz w:val="26"/>
        </w:rPr>
        <w:t>Bước 4: Cơ sở khám bệnh, chữa bệnh nhận thuốc, thiết bị y tế có trách nhiệm thanh toán chi phí thuốc, thiết bị y tế cho cơ sở khám bệnh, chữa bệnh nơi điều chuyển. Cơ sở khám bệnh, chữa bệnh nơi điều trị cho người bệnh tổng hợp phần chi phí thuốc, thiết bị y tế thuộc phạm vi thanh toán của quỹ bảo hiểm y tế vào chi phí khám bệnh, chữa bệnh của người bệnh để thanh toán với cơ quan bảo hiểm xã hội.</w:t>
      </w:r>
    </w:p>
    <w:p w14:paraId="693CBB11"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chuyển người bệnh hoặc mẫu bệnh phẩm đến cơ sở khác đủ điều kiện để thực hiện dịch vụ cận lâm sàng</w:t>
      </w:r>
    </w:p>
    <w:p w14:paraId="59E16366" w14:textId="77777777" w:rsidR="00ED4894" w:rsidRDefault="00846D13">
      <w:pPr>
        <w:spacing w:after="0" w:line="276" w:lineRule="auto"/>
        <w:jc w:val="both"/>
      </w:pPr>
      <w:r>
        <w:rPr>
          <w:rFonts w:ascii="Times New Roman" w:eastAsia="Times New Roman" w:hAnsi="Times New Roman" w:cs="Times New Roman"/>
          <w:sz w:val="26"/>
        </w:rPr>
        <w:t>Bước 1: Cơ sở khám bệnh, chữa bệnh nơi chuyển người bệnh hoặc mẫu bệnh phẩm điền thông tin vào Mẫu số 9 Phụ lục ban hành kèm theo Nghị định số 188/2025/NĐ-CP để gửi kèm trong quá trình chuyển người bệnh hoặc mẫu bệnh phẩm đến cơ sở thực hiện dịch vụ cận lâm sàng.</w:t>
      </w:r>
    </w:p>
    <w:p w14:paraId="36AF334C" w14:textId="77777777" w:rsidR="00ED4894" w:rsidRDefault="00846D13">
      <w:pPr>
        <w:spacing w:after="0" w:line="276" w:lineRule="auto"/>
        <w:jc w:val="both"/>
      </w:pPr>
      <w:r>
        <w:rPr>
          <w:rFonts w:ascii="Times New Roman" w:eastAsia="Times New Roman" w:hAnsi="Times New Roman" w:cs="Times New Roman"/>
          <w:sz w:val="26"/>
        </w:rPr>
        <w:t xml:space="preserve">Bước 2:  + Cơ sở khám bệnh, chữa bệnh nơi chuyển người bệnh hoặc mẫu bệnh phẩm gửi danh sách các dịch vụ cận lâm sàng đã thực hiện chuyển đến cơ sở thực hiện dịch vụ cận lâm sàng cho cơ quan bảo hiểm xã hội nơi ký hợp đồng khám bệnh, chữa bệnh bảo hiểm y tế để làm căn cứ thanh toán. (Đối với dịch vụ cận lâm sàng được cơ quan nhà nước có thẩm quyền phê duyệt cho cơ sở khám bệnh, chữa bệnh theo quy định tại điểm a khoản 2 Điều 44 của Nghị định số 188/2025/NĐ-CP) + Cơ sở khám bệnh, chữa bệnh bảo hiểm y tế nơi </w:t>
      </w:r>
      <w:r>
        <w:rPr>
          <w:rFonts w:ascii="Times New Roman" w:eastAsia="Times New Roman" w:hAnsi="Times New Roman" w:cs="Times New Roman"/>
          <w:sz w:val="26"/>
        </w:rPr>
        <w:t>chuyển người bệnh hoặc mẫu bệnh phẩm gửi danh sách các dịch vụ cận lâm sàng cần chuyển và hợp đồng nguyên tắc đến cơ quan bảo hiểm xã hội nơi ký hợp đồng khám bệnh, chữa bệnh bảo hiểm y tế trước khi thực hiện. (Đối với dịch vụ cận lâm sàng chưa được cơ quan nhà nước có thẩm quyền phê duyệt theo quy định tại điểm b khoản 2 Điều 44 của Nghị định số 188/2025/NĐ-CP)</w:t>
      </w:r>
    </w:p>
    <w:p w14:paraId="7A4FAC05" w14:textId="77777777" w:rsidR="00ED4894" w:rsidRDefault="00846D13">
      <w:pPr>
        <w:spacing w:after="0" w:line="276" w:lineRule="auto"/>
        <w:jc w:val="both"/>
      </w:pPr>
      <w:r>
        <w:rPr>
          <w:rFonts w:ascii="Times New Roman" w:eastAsia="Times New Roman" w:hAnsi="Times New Roman" w:cs="Times New Roman"/>
          <w:sz w:val="26"/>
        </w:rPr>
        <w:lastRenderedPageBreak/>
        <w:t>Bước 3: Cơ sở khám bệnh, chữa bệnh chuyển người bệnh hoặc mẫu bệnh phẩm có trách nhiệm thanh toán chi phí cho cơ sở khám bệnh, chữa bệnh hoặc đơn vị thực hiện dịch vụ, đồng thời tổng hợp chi phí dịch vụ cận lâm sàng vào chi phí khám bệnh, chữa bệnh của người bệnh để thanh toán với cơ quan bảo hiểm xã hội</w:t>
      </w:r>
    </w:p>
    <w:p w14:paraId="5D872B9C"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chuyển giao kỹ thuật</w:t>
      </w:r>
    </w:p>
    <w:p w14:paraId="25A0D9D0" w14:textId="77777777" w:rsidR="00ED4894" w:rsidRDefault="00846D13">
      <w:pPr>
        <w:spacing w:after="0" w:line="276" w:lineRule="auto"/>
        <w:jc w:val="both"/>
      </w:pPr>
      <w:r>
        <w:rPr>
          <w:rFonts w:ascii="Times New Roman" w:eastAsia="Times New Roman" w:hAnsi="Times New Roman" w:cs="Times New Roman"/>
          <w:sz w:val="26"/>
        </w:rPr>
        <w:t>Bước 1: Cơ sở khám bệnh, chữa bệnh nhận chuyển giao kỹ thuật có trách nhiệm thông báo bằng văn bản cho cơ quan bảo hiểm xã hội ký hợp đồng khám bệnh, chữa bệnh bảo hiểm y tế về các dịch vụ khám bệnh, chữa bệnh được thực hiện theo đề án, hợp đồng chuyển giao, văn bản phê duyệt của cấp có thẩm quyền đối với các kỹ thuật loại đặc biệt.</w:t>
      </w:r>
    </w:p>
    <w:p w14:paraId="26D0C7BF" w14:textId="77777777" w:rsidR="00ED4894" w:rsidRDefault="00846D13">
      <w:pPr>
        <w:spacing w:after="0" w:line="276" w:lineRule="auto"/>
        <w:jc w:val="both"/>
      </w:pPr>
      <w:r>
        <w:rPr>
          <w:rFonts w:ascii="Times New Roman" w:eastAsia="Times New Roman" w:hAnsi="Times New Roman" w:cs="Times New Roman"/>
          <w:sz w:val="26"/>
        </w:rPr>
        <w:t>Bước 2: Quỹ bảo hiểm y tế thanh toán theo số lượng dịch vụ khám bệnh, chữa bệnh trong đề án, hợp đồng; chuyển giao hoặc văn bản phê duyệt của cấp có thẩm quyền đối với các kỹ thuật loại đặc biệt.</w:t>
      </w:r>
    </w:p>
    <w:p w14:paraId="328BB34B"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tổ chức khám bệnh, chữa bệnh bảo hiểm y tế ngoài giờ hành chính hoặc vào ngày nghỉ, ngày lễ</w:t>
      </w:r>
    </w:p>
    <w:p w14:paraId="346A13F9" w14:textId="77777777" w:rsidR="00ED4894" w:rsidRDefault="00846D13">
      <w:pPr>
        <w:spacing w:after="0" w:line="276" w:lineRule="auto"/>
        <w:jc w:val="both"/>
      </w:pPr>
      <w:r>
        <w:rPr>
          <w:rFonts w:ascii="Times New Roman" w:eastAsia="Times New Roman" w:hAnsi="Times New Roman" w:cs="Times New Roman"/>
          <w:sz w:val="26"/>
        </w:rPr>
        <w:t>Bước 1: Cơ sở khám bệnh, chữa bệnh thông báo bằng văn bản cho cơ quan quản lý nhà nước về y tế trên địa bàn và cơ quan bảo hiểm xã hội nơi ký hợp đồng khám bệnh, chữa bệnh bảo hiểm y tế ít nhất 03 ngày làm việc trước khi thực hiện hoạt động khám bệnh, chữa bệnh ngoài giờ hành chính hoặc vào ngày nghỉ, ngày lễ.</w:t>
      </w:r>
    </w:p>
    <w:p w14:paraId="648CF51F" w14:textId="77777777" w:rsidR="00ED4894" w:rsidRDefault="00846D13">
      <w:pPr>
        <w:spacing w:after="0" w:line="276" w:lineRule="auto"/>
        <w:jc w:val="both"/>
      </w:pPr>
      <w:r>
        <w:rPr>
          <w:rFonts w:ascii="Times New Roman" w:eastAsia="Times New Roman" w:hAnsi="Times New Roman" w:cs="Times New Roman"/>
          <w:sz w:val="26"/>
        </w:rPr>
        <w:t>Bước 2: Quỹ bảo hiểm y tế thanh toán chi phí khám bệnh, chữa bệnh cho cơ sở khám bệnh, chữa bệnh theo quy định</w:t>
      </w:r>
    </w:p>
    <w:p w14:paraId="0EA492E9" w14:textId="77777777" w:rsidR="00ED4894" w:rsidRDefault="00846D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3"/>
        <w:gridCol w:w="906"/>
        <w:gridCol w:w="1051"/>
        <w:gridCol w:w="6695"/>
      </w:tblGrid>
      <w:tr w:rsidR="00ED4894" w14:paraId="50060F9B" w14:textId="77777777">
        <w:tblPrEx>
          <w:tblCellMar>
            <w:top w:w="0" w:type="dxa"/>
            <w:bottom w:w="0" w:type="dxa"/>
          </w:tblCellMar>
        </w:tblPrEx>
        <w:tc>
          <w:tcPr>
            <w:tcW w:w="1500" w:type="dxa"/>
          </w:tcPr>
          <w:p w14:paraId="5AA4B6A8" w14:textId="77777777" w:rsidR="00ED4894" w:rsidRDefault="00ED4894"/>
          <w:p w14:paraId="7C0025D7" w14:textId="77777777" w:rsidR="00ED4894" w:rsidRDefault="00846D13">
            <w:pPr>
              <w:spacing w:after="0" w:line="276" w:lineRule="auto"/>
              <w:jc w:val="center"/>
            </w:pPr>
            <w:r>
              <w:rPr>
                <w:rFonts w:ascii="Times New Roman" w:eastAsia="Times New Roman" w:hAnsi="Times New Roman" w:cs="Times New Roman"/>
                <w:b/>
                <w:sz w:val="26"/>
              </w:rPr>
              <w:t>Hình thức nộp</w:t>
            </w:r>
          </w:p>
        </w:tc>
        <w:tc>
          <w:tcPr>
            <w:tcW w:w="2000" w:type="dxa"/>
          </w:tcPr>
          <w:p w14:paraId="2CB8AF01" w14:textId="77777777" w:rsidR="00ED4894" w:rsidRDefault="00ED4894"/>
          <w:p w14:paraId="441E839E" w14:textId="77777777" w:rsidR="00ED4894" w:rsidRDefault="00846D1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AC1E76" w14:textId="77777777" w:rsidR="00ED4894" w:rsidRDefault="00ED4894"/>
          <w:p w14:paraId="23197B72" w14:textId="77777777" w:rsidR="00ED4894" w:rsidRDefault="00846D13">
            <w:pPr>
              <w:spacing w:after="0" w:line="276" w:lineRule="auto"/>
              <w:jc w:val="center"/>
            </w:pPr>
            <w:r>
              <w:rPr>
                <w:rFonts w:ascii="Times New Roman" w:eastAsia="Times New Roman" w:hAnsi="Times New Roman" w:cs="Times New Roman"/>
                <w:b/>
                <w:sz w:val="26"/>
              </w:rPr>
              <w:t>Phí, lệ phí</w:t>
            </w:r>
          </w:p>
        </w:tc>
        <w:tc>
          <w:tcPr>
            <w:tcW w:w="3000" w:type="dxa"/>
          </w:tcPr>
          <w:p w14:paraId="23A19171" w14:textId="77777777" w:rsidR="00ED4894" w:rsidRDefault="00ED4894"/>
          <w:p w14:paraId="08556B67" w14:textId="77777777" w:rsidR="00ED4894" w:rsidRDefault="00846D13">
            <w:pPr>
              <w:spacing w:after="0" w:line="276" w:lineRule="auto"/>
              <w:jc w:val="center"/>
            </w:pPr>
            <w:r>
              <w:rPr>
                <w:rFonts w:ascii="Times New Roman" w:eastAsia="Times New Roman" w:hAnsi="Times New Roman" w:cs="Times New Roman"/>
                <w:b/>
                <w:sz w:val="26"/>
              </w:rPr>
              <w:t>Mô tả</w:t>
            </w:r>
          </w:p>
        </w:tc>
      </w:tr>
      <w:tr w:rsidR="00ED4894" w14:paraId="71E3647D" w14:textId="77777777">
        <w:tblPrEx>
          <w:tblCellMar>
            <w:top w:w="0" w:type="dxa"/>
            <w:bottom w:w="0" w:type="dxa"/>
          </w:tblCellMar>
        </w:tblPrEx>
        <w:tc>
          <w:tcPr>
            <w:tcW w:w="0" w:type="auto"/>
          </w:tcPr>
          <w:p w14:paraId="13918833" w14:textId="77777777" w:rsidR="00ED4894" w:rsidRDefault="00ED4894"/>
          <w:p w14:paraId="5122CCAA" w14:textId="77777777" w:rsidR="00ED4894" w:rsidRDefault="00846D13">
            <w:pPr>
              <w:spacing w:after="0" w:line="276" w:lineRule="auto"/>
            </w:pPr>
            <w:r>
              <w:rPr>
                <w:rFonts w:ascii="Times New Roman" w:eastAsia="Times New Roman" w:hAnsi="Times New Roman" w:cs="Times New Roman"/>
                <w:sz w:val="26"/>
              </w:rPr>
              <w:t>Trực tiếp</w:t>
            </w:r>
          </w:p>
        </w:tc>
        <w:tc>
          <w:tcPr>
            <w:tcW w:w="0" w:type="auto"/>
          </w:tcPr>
          <w:p w14:paraId="3F12822E" w14:textId="77777777" w:rsidR="00ED4894" w:rsidRDefault="00ED4894"/>
          <w:p w14:paraId="4418F22E" w14:textId="77777777" w:rsidR="00ED4894" w:rsidRDefault="00846D13">
            <w:pPr>
              <w:spacing w:after="0" w:line="276" w:lineRule="auto"/>
            </w:pPr>
            <w:r>
              <w:rPr>
                <w:rFonts w:ascii="Times New Roman" w:eastAsia="Times New Roman" w:hAnsi="Times New Roman" w:cs="Times New Roman"/>
                <w:sz w:val="26"/>
              </w:rPr>
              <w:t xml:space="preserve"> </w:t>
            </w:r>
          </w:p>
        </w:tc>
        <w:tc>
          <w:tcPr>
            <w:tcW w:w="0" w:type="auto"/>
          </w:tcPr>
          <w:p w14:paraId="0C0FB5E4" w14:textId="77777777" w:rsidR="00ED4894" w:rsidRDefault="00ED4894"/>
          <w:p w14:paraId="51C1A3E0" w14:textId="77777777" w:rsidR="00ED4894" w:rsidRDefault="00ED4894">
            <w:pPr>
              <w:spacing w:after="0" w:line="276" w:lineRule="auto"/>
            </w:pPr>
          </w:p>
        </w:tc>
        <w:tc>
          <w:tcPr>
            <w:tcW w:w="0" w:type="auto"/>
          </w:tcPr>
          <w:p w14:paraId="0CB89D1F" w14:textId="77777777" w:rsidR="00ED4894" w:rsidRDefault="00ED4894"/>
          <w:p w14:paraId="21707273" w14:textId="77777777" w:rsidR="00ED4894" w:rsidRDefault="00846D13">
            <w:pPr>
              <w:spacing w:after="0" w:line="276" w:lineRule="auto"/>
            </w:pPr>
            <w:r>
              <w:rPr>
                <w:rFonts w:ascii="Times New Roman" w:eastAsia="Times New Roman" w:hAnsi="Times New Roman" w:cs="Times New Roman"/>
                <w:sz w:val="26"/>
              </w:rPr>
              <w:t>-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 Trong thời hạn 10 ngày kể từ ngày thông báo số quyết toán chi phí khám bệnh, chữa bệnh bảo hiểm y tế, cơ quan bảo hiểm xã hội phải hoàn thành việc thanh toán với cơ sở khám bệnh, chữa bệnh.</w:t>
            </w:r>
          </w:p>
        </w:tc>
      </w:tr>
      <w:tr w:rsidR="00ED4894" w14:paraId="097450BB" w14:textId="77777777">
        <w:tblPrEx>
          <w:tblCellMar>
            <w:top w:w="0" w:type="dxa"/>
            <w:bottom w:w="0" w:type="dxa"/>
          </w:tblCellMar>
        </w:tblPrEx>
        <w:tc>
          <w:tcPr>
            <w:tcW w:w="0" w:type="auto"/>
          </w:tcPr>
          <w:p w14:paraId="3B9310E3" w14:textId="77777777" w:rsidR="00ED4894" w:rsidRDefault="00ED4894"/>
          <w:p w14:paraId="13FBA983" w14:textId="77777777" w:rsidR="00ED4894" w:rsidRDefault="00846D13">
            <w:pPr>
              <w:spacing w:after="0" w:line="276" w:lineRule="auto"/>
            </w:pPr>
            <w:r>
              <w:rPr>
                <w:rFonts w:ascii="Times New Roman" w:eastAsia="Times New Roman" w:hAnsi="Times New Roman" w:cs="Times New Roman"/>
                <w:sz w:val="26"/>
              </w:rPr>
              <w:t>Trực tuyến</w:t>
            </w:r>
          </w:p>
        </w:tc>
        <w:tc>
          <w:tcPr>
            <w:tcW w:w="0" w:type="auto"/>
          </w:tcPr>
          <w:p w14:paraId="38A2C049" w14:textId="77777777" w:rsidR="00ED4894" w:rsidRDefault="00ED4894"/>
          <w:p w14:paraId="56B7851D" w14:textId="77777777" w:rsidR="00ED4894" w:rsidRDefault="00846D13">
            <w:pPr>
              <w:spacing w:after="0" w:line="276" w:lineRule="auto"/>
            </w:pPr>
            <w:r>
              <w:rPr>
                <w:rFonts w:ascii="Times New Roman" w:eastAsia="Times New Roman" w:hAnsi="Times New Roman" w:cs="Times New Roman"/>
                <w:sz w:val="26"/>
              </w:rPr>
              <w:t xml:space="preserve"> </w:t>
            </w:r>
          </w:p>
        </w:tc>
        <w:tc>
          <w:tcPr>
            <w:tcW w:w="0" w:type="auto"/>
          </w:tcPr>
          <w:p w14:paraId="597A8625" w14:textId="77777777" w:rsidR="00ED4894" w:rsidRDefault="00ED4894"/>
          <w:p w14:paraId="4C7926C3" w14:textId="77777777" w:rsidR="00ED4894" w:rsidRDefault="00ED4894">
            <w:pPr>
              <w:spacing w:after="0" w:line="276" w:lineRule="auto"/>
            </w:pPr>
          </w:p>
        </w:tc>
        <w:tc>
          <w:tcPr>
            <w:tcW w:w="0" w:type="auto"/>
          </w:tcPr>
          <w:p w14:paraId="5ED0E134" w14:textId="77777777" w:rsidR="00ED4894" w:rsidRDefault="00ED4894"/>
          <w:p w14:paraId="0E5C63FB" w14:textId="77777777" w:rsidR="00ED4894" w:rsidRDefault="00846D13">
            <w:pPr>
              <w:spacing w:after="0" w:line="276" w:lineRule="auto"/>
            </w:pPr>
            <w:r>
              <w:rPr>
                <w:rFonts w:ascii="Times New Roman" w:eastAsia="Times New Roman" w:hAnsi="Times New Roman" w:cs="Times New Roman"/>
                <w:sz w:val="26"/>
              </w:rPr>
              <w:t>-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 Trong thời hạn 10 ngày kể từ ngày thông báo số quyết toán chi phí khám bệnh, chữa bệnh bảo hiểm y tế, cơ quan bảo hiểm xã hội phải hoàn thành việc thanh toán với cơ sở khám bệnh, chữa bệnh.</w:t>
            </w:r>
          </w:p>
        </w:tc>
      </w:tr>
    </w:tbl>
    <w:p w14:paraId="4E49C06B" w14:textId="77777777" w:rsidR="00ED4894" w:rsidRDefault="00846D13">
      <w:pPr>
        <w:spacing w:before="240" w:after="0" w:line="276" w:lineRule="auto"/>
        <w:jc w:val="both"/>
      </w:pPr>
      <w:r>
        <w:rPr>
          <w:rFonts w:ascii="Times New Roman" w:eastAsia="Times New Roman" w:hAnsi="Times New Roman" w:cs="Times New Roman"/>
          <w:b/>
          <w:sz w:val="26"/>
        </w:rPr>
        <w:t xml:space="preserve">Thành phần hồ sơ: </w:t>
      </w:r>
    </w:p>
    <w:p w14:paraId="7E67A255"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chuyển giao kỹ thuật</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1"/>
        <w:gridCol w:w="1264"/>
        <w:gridCol w:w="1330"/>
      </w:tblGrid>
      <w:tr w:rsidR="00ED4894" w14:paraId="05BE92A1" w14:textId="77777777">
        <w:tblPrEx>
          <w:tblCellMar>
            <w:top w:w="0" w:type="dxa"/>
            <w:bottom w:w="0" w:type="dxa"/>
          </w:tblCellMar>
        </w:tblPrEx>
        <w:tc>
          <w:tcPr>
            <w:tcW w:w="6000" w:type="dxa"/>
          </w:tcPr>
          <w:p w14:paraId="68CB926F" w14:textId="77777777" w:rsidR="00ED4894" w:rsidRDefault="00ED4894"/>
          <w:p w14:paraId="64BD9A64"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58D8E803" w14:textId="77777777" w:rsidR="00ED4894" w:rsidRDefault="00ED4894"/>
          <w:p w14:paraId="14499455"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65CC412A" w14:textId="77777777" w:rsidR="00ED4894" w:rsidRDefault="00ED4894"/>
          <w:p w14:paraId="67ECE29D"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44ED9990" w14:textId="77777777">
        <w:tblPrEx>
          <w:tblCellMar>
            <w:top w:w="0" w:type="dxa"/>
            <w:bottom w:w="0" w:type="dxa"/>
          </w:tblCellMar>
        </w:tblPrEx>
        <w:tc>
          <w:tcPr>
            <w:tcW w:w="0" w:type="auto"/>
          </w:tcPr>
          <w:p w14:paraId="7B0BEC0C" w14:textId="77777777" w:rsidR="00ED4894" w:rsidRDefault="00ED4894"/>
          <w:p w14:paraId="136B8618" w14:textId="77777777" w:rsidR="00ED4894" w:rsidRDefault="00846D13">
            <w:pPr>
              <w:spacing w:after="0" w:line="276" w:lineRule="auto"/>
            </w:pPr>
            <w:r>
              <w:rPr>
                <w:rFonts w:ascii="Times New Roman" w:eastAsia="Times New Roman" w:hAnsi="Times New Roman" w:cs="Times New Roman"/>
                <w:sz w:val="26"/>
              </w:rPr>
              <w:t>Văn bản thông báo về việc nhận chuyển giao kỹ  thuật</w:t>
            </w:r>
          </w:p>
        </w:tc>
        <w:tc>
          <w:tcPr>
            <w:tcW w:w="0" w:type="auto"/>
          </w:tcPr>
          <w:p w14:paraId="1F03F267" w14:textId="77777777" w:rsidR="00ED4894" w:rsidRDefault="00ED4894"/>
        </w:tc>
        <w:tc>
          <w:tcPr>
            <w:tcW w:w="0" w:type="auto"/>
          </w:tcPr>
          <w:p w14:paraId="75772F48" w14:textId="77777777" w:rsidR="00ED4894" w:rsidRDefault="00ED4894"/>
          <w:p w14:paraId="785DE380"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697320B5" w14:textId="77777777">
        <w:tblPrEx>
          <w:tblCellMar>
            <w:top w:w="0" w:type="dxa"/>
            <w:bottom w:w="0" w:type="dxa"/>
          </w:tblCellMar>
        </w:tblPrEx>
        <w:tc>
          <w:tcPr>
            <w:tcW w:w="0" w:type="auto"/>
          </w:tcPr>
          <w:p w14:paraId="6A291116" w14:textId="77777777" w:rsidR="00ED4894" w:rsidRDefault="00ED4894"/>
          <w:p w14:paraId="448168C9" w14:textId="77777777" w:rsidR="00ED4894" w:rsidRDefault="00846D13">
            <w:pPr>
              <w:spacing w:after="0" w:line="276" w:lineRule="auto"/>
            </w:pPr>
            <w:r>
              <w:rPr>
                <w:rFonts w:ascii="Times New Roman" w:eastAsia="Times New Roman" w:hAnsi="Times New Roman" w:cs="Times New Roman"/>
                <w:sz w:val="26"/>
              </w:rPr>
              <w:t>Bản chụp của đề án, hợp đồng chuyển giao hoặc văn bản phê duyệt  của cấp có thẩm quyền đối với các kỹ thuật loại đặc biệt</w:t>
            </w:r>
          </w:p>
        </w:tc>
        <w:tc>
          <w:tcPr>
            <w:tcW w:w="0" w:type="auto"/>
          </w:tcPr>
          <w:p w14:paraId="339DC129" w14:textId="77777777" w:rsidR="00ED4894" w:rsidRDefault="00ED4894"/>
        </w:tc>
        <w:tc>
          <w:tcPr>
            <w:tcW w:w="0" w:type="auto"/>
          </w:tcPr>
          <w:p w14:paraId="46080914" w14:textId="77777777" w:rsidR="00ED4894" w:rsidRDefault="00ED4894"/>
          <w:p w14:paraId="3D510D2C"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0BAA3CA"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chuyển người bệnh hoặc mẫu bệnh phẩm đến cơ sở khác đủ điều kiện để thực hiện dịch vụ cận lâm sàng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21"/>
        <w:gridCol w:w="1355"/>
        <w:gridCol w:w="949"/>
      </w:tblGrid>
      <w:tr w:rsidR="00ED4894" w14:paraId="3AC38775" w14:textId="77777777">
        <w:tblPrEx>
          <w:tblCellMar>
            <w:top w:w="0" w:type="dxa"/>
            <w:bottom w:w="0" w:type="dxa"/>
          </w:tblCellMar>
        </w:tblPrEx>
        <w:tc>
          <w:tcPr>
            <w:tcW w:w="6000" w:type="dxa"/>
          </w:tcPr>
          <w:p w14:paraId="132A1C4E" w14:textId="77777777" w:rsidR="00ED4894" w:rsidRDefault="00ED4894"/>
          <w:p w14:paraId="518C9E59"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1AA3A2A6" w14:textId="77777777" w:rsidR="00ED4894" w:rsidRDefault="00ED4894"/>
          <w:p w14:paraId="12A38217"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25C26048" w14:textId="77777777" w:rsidR="00ED4894" w:rsidRDefault="00ED4894"/>
          <w:p w14:paraId="2CF47F47"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4F9C39E7" w14:textId="77777777">
        <w:tblPrEx>
          <w:tblCellMar>
            <w:top w:w="0" w:type="dxa"/>
            <w:bottom w:w="0" w:type="dxa"/>
          </w:tblCellMar>
        </w:tblPrEx>
        <w:tc>
          <w:tcPr>
            <w:tcW w:w="0" w:type="auto"/>
          </w:tcPr>
          <w:p w14:paraId="7A3063F9" w14:textId="77777777" w:rsidR="00ED4894" w:rsidRDefault="00ED4894"/>
          <w:p w14:paraId="2D784ACF" w14:textId="77777777" w:rsidR="00ED4894" w:rsidRDefault="00846D13">
            <w:pPr>
              <w:spacing w:after="0" w:line="276" w:lineRule="auto"/>
            </w:pPr>
            <w:r>
              <w:rPr>
                <w:rFonts w:ascii="Times New Roman" w:eastAsia="Times New Roman" w:hAnsi="Times New Roman" w:cs="Times New Roman"/>
                <w:sz w:val="26"/>
              </w:rPr>
              <w:t>Phiếu chuyển dịch vụ cận lâm sàng theo Mẫu số 9 Phụ lục ban hành kèm theo Nghị định số 188/2025/NĐ-CP</w:t>
            </w:r>
          </w:p>
        </w:tc>
        <w:tc>
          <w:tcPr>
            <w:tcW w:w="0" w:type="auto"/>
          </w:tcPr>
          <w:p w14:paraId="7ADAAAB5" w14:textId="77777777" w:rsidR="00ED4894" w:rsidRDefault="00ED4894"/>
          <w:p w14:paraId="31D3D4D8" w14:textId="77777777" w:rsidR="00ED4894" w:rsidRDefault="00846D13">
            <w:pPr>
              <w:spacing w:after="0" w:line="276" w:lineRule="auto"/>
            </w:pPr>
            <w:r>
              <w:rPr>
                <w:rFonts w:ascii="Times New Roman" w:eastAsia="Times New Roman" w:hAnsi="Times New Roman" w:cs="Times New Roman"/>
                <w:sz w:val="26"/>
              </w:rPr>
              <w:t>Mus9.docx</w:t>
            </w:r>
          </w:p>
        </w:tc>
        <w:tc>
          <w:tcPr>
            <w:tcW w:w="0" w:type="auto"/>
          </w:tcPr>
          <w:p w14:paraId="26993C4F" w14:textId="77777777" w:rsidR="00ED4894" w:rsidRDefault="00ED4894"/>
          <w:p w14:paraId="5FAB745F"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07C35A1D" w14:textId="77777777">
        <w:tblPrEx>
          <w:tblCellMar>
            <w:top w:w="0" w:type="dxa"/>
            <w:bottom w:w="0" w:type="dxa"/>
          </w:tblCellMar>
        </w:tblPrEx>
        <w:tc>
          <w:tcPr>
            <w:tcW w:w="0" w:type="auto"/>
          </w:tcPr>
          <w:p w14:paraId="37662125" w14:textId="77777777" w:rsidR="00ED4894" w:rsidRDefault="00ED4894"/>
          <w:p w14:paraId="64125431" w14:textId="77777777" w:rsidR="00ED4894" w:rsidRDefault="00846D13">
            <w:pPr>
              <w:spacing w:after="0" w:line="276" w:lineRule="auto"/>
            </w:pPr>
            <w:r>
              <w:rPr>
                <w:rFonts w:ascii="Times New Roman" w:eastAsia="Times New Roman" w:hAnsi="Times New Roman" w:cs="Times New Roman"/>
                <w:sz w:val="26"/>
              </w:rPr>
              <w:t>Danh sách các dịch vụ cận lâm sàng đã thực hiện chuyển đến cơ sở thực hiện dịch vụ cận lâm sàng (Đối với trường hợp dịch vụ cận lâm sàng được cơ quan nhà nước có thẩm quyền phê duyệt theo quy định tại điểm a khoản 2 Điều 44 của Nghị định số 188/2025/NĐ-CP)</w:t>
            </w:r>
          </w:p>
        </w:tc>
        <w:tc>
          <w:tcPr>
            <w:tcW w:w="0" w:type="auto"/>
          </w:tcPr>
          <w:p w14:paraId="2E34CE25" w14:textId="77777777" w:rsidR="00ED4894" w:rsidRDefault="00ED4894"/>
        </w:tc>
        <w:tc>
          <w:tcPr>
            <w:tcW w:w="0" w:type="auto"/>
          </w:tcPr>
          <w:p w14:paraId="3AD51BF6" w14:textId="77777777" w:rsidR="00ED4894" w:rsidRDefault="00ED4894"/>
          <w:p w14:paraId="1C9E80E4"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56154F4E" w14:textId="77777777">
        <w:tblPrEx>
          <w:tblCellMar>
            <w:top w:w="0" w:type="dxa"/>
            <w:bottom w:w="0" w:type="dxa"/>
          </w:tblCellMar>
        </w:tblPrEx>
        <w:tc>
          <w:tcPr>
            <w:tcW w:w="0" w:type="auto"/>
          </w:tcPr>
          <w:p w14:paraId="6C64AF3F" w14:textId="77777777" w:rsidR="00ED4894" w:rsidRDefault="00ED4894"/>
          <w:p w14:paraId="6DA4043D" w14:textId="77777777" w:rsidR="00ED4894" w:rsidRDefault="00846D13">
            <w:pPr>
              <w:spacing w:after="0" w:line="276" w:lineRule="auto"/>
            </w:pPr>
            <w:r>
              <w:rPr>
                <w:rFonts w:ascii="Times New Roman" w:eastAsia="Times New Roman" w:hAnsi="Times New Roman" w:cs="Times New Roman"/>
                <w:sz w:val="26"/>
              </w:rPr>
              <w:t>Hợp đồng nguyên tắc giữa cơ sở nơi chuyển người bệnh hoặc mẫu bệnh phẩm với cơ sở thực hiện dịch vụ cận lâm sàng theo quy định tại điểm b khoản 2 Điều 44 của Nghị định số 188/2025/NĐ-CP)</w:t>
            </w:r>
          </w:p>
        </w:tc>
        <w:tc>
          <w:tcPr>
            <w:tcW w:w="0" w:type="auto"/>
          </w:tcPr>
          <w:p w14:paraId="484377D8" w14:textId="77777777" w:rsidR="00ED4894" w:rsidRDefault="00ED4894"/>
        </w:tc>
        <w:tc>
          <w:tcPr>
            <w:tcW w:w="0" w:type="auto"/>
          </w:tcPr>
          <w:p w14:paraId="5F5971A8" w14:textId="77777777" w:rsidR="00ED4894" w:rsidRDefault="00ED4894"/>
          <w:p w14:paraId="056A3238"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A904FB0"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thanh toán chi phí thuốc, thiết bị y tế được điều chuyển giữa các cơ sở khám bệnh, chữa bệnh bảo hiểm y tế</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89"/>
        <w:gridCol w:w="1286"/>
        <w:gridCol w:w="1350"/>
      </w:tblGrid>
      <w:tr w:rsidR="00ED4894" w14:paraId="4ED2C109" w14:textId="77777777">
        <w:tblPrEx>
          <w:tblCellMar>
            <w:top w:w="0" w:type="dxa"/>
            <w:bottom w:w="0" w:type="dxa"/>
          </w:tblCellMar>
        </w:tblPrEx>
        <w:tc>
          <w:tcPr>
            <w:tcW w:w="6000" w:type="dxa"/>
          </w:tcPr>
          <w:p w14:paraId="5D4DB913" w14:textId="77777777" w:rsidR="00ED4894" w:rsidRDefault="00ED4894"/>
          <w:p w14:paraId="09C1F934"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7181F78F" w14:textId="77777777" w:rsidR="00ED4894" w:rsidRDefault="00ED4894"/>
          <w:p w14:paraId="22032795"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6E1231B4" w14:textId="77777777" w:rsidR="00ED4894" w:rsidRDefault="00ED4894"/>
          <w:p w14:paraId="4B09B788"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30E11AA4" w14:textId="77777777">
        <w:tblPrEx>
          <w:tblCellMar>
            <w:top w:w="0" w:type="dxa"/>
            <w:bottom w:w="0" w:type="dxa"/>
          </w:tblCellMar>
        </w:tblPrEx>
        <w:tc>
          <w:tcPr>
            <w:tcW w:w="0" w:type="auto"/>
          </w:tcPr>
          <w:p w14:paraId="06444DF1" w14:textId="77777777" w:rsidR="00ED4894" w:rsidRDefault="00ED4894"/>
          <w:p w14:paraId="056EB799" w14:textId="77777777" w:rsidR="00ED4894" w:rsidRDefault="00846D13">
            <w:pPr>
              <w:spacing w:after="0" w:line="276" w:lineRule="auto"/>
            </w:pPr>
            <w:r>
              <w:rPr>
                <w:rFonts w:ascii="Times New Roman" w:eastAsia="Times New Roman" w:hAnsi="Times New Roman" w:cs="Times New Roman"/>
                <w:sz w:val="26"/>
              </w:rPr>
              <w:t>Văn bản giao nhận giữa cơ sở điều chuyển và cơ sở nhận thuốc, thiết bị y tế</w:t>
            </w:r>
          </w:p>
        </w:tc>
        <w:tc>
          <w:tcPr>
            <w:tcW w:w="0" w:type="auto"/>
          </w:tcPr>
          <w:p w14:paraId="03862008" w14:textId="77777777" w:rsidR="00ED4894" w:rsidRDefault="00ED4894"/>
        </w:tc>
        <w:tc>
          <w:tcPr>
            <w:tcW w:w="0" w:type="auto"/>
          </w:tcPr>
          <w:p w14:paraId="4B879644" w14:textId="77777777" w:rsidR="00ED4894" w:rsidRDefault="00ED4894"/>
          <w:p w14:paraId="2B9C93DC"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6738F8EC" w14:textId="77777777">
        <w:tblPrEx>
          <w:tblCellMar>
            <w:top w:w="0" w:type="dxa"/>
            <w:bottom w:w="0" w:type="dxa"/>
          </w:tblCellMar>
        </w:tblPrEx>
        <w:tc>
          <w:tcPr>
            <w:tcW w:w="0" w:type="auto"/>
          </w:tcPr>
          <w:p w14:paraId="46C7D680" w14:textId="77777777" w:rsidR="00ED4894" w:rsidRDefault="00ED4894"/>
          <w:p w14:paraId="7B7CCCEE" w14:textId="77777777" w:rsidR="00ED4894" w:rsidRDefault="00846D13">
            <w:pPr>
              <w:spacing w:after="0" w:line="276" w:lineRule="auto"/>
            </w:pPr>
            <w:r>
              <w:rPr>
                <w:rFonts w:ascii="Times New Roman" w:eastAsia="Times New Roman" w:hAnsi="Times New Roman" w:cs="Times New Roman"/>
                <w:sz w:val="26"/>
              </w:rPr>
              <w:t>Văn bản cung ứng thuốc từ nhà cung cấp, phụ lục hợp đồng, biên bản xác nhận nhà thầu không cung cấp thuốc (nếu có).</w:t>
            </w:r>
          </w:p>
        </w:tc>
        <w:tc>
          <w:tcPr>
            <w:tcW w:w="0" w:type="auto"/>
          </w:tcPr>
          <w:p w14:paraId="7DCEBDE5" w14:textId="77777777" w:rsidR="00ED4894" w:rsidRDefault="00ED4894"/>
        </w:tc>
        <w:tc>
          <w:tcPr>
            <w:tcW w:w="0" w:type="auto"/>
          </w:tcPr>
          <w:p w14:paraId="7F57E8B5" w14:textId="77777777" w:rsidR="00ED4894" w:rsidRDefault="00ED4894"/>
          <w:p w14:paraId="6A8764F5"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FB2617C"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Trường hợp tổ chức khám bệnh, chữa bệnh bảo hiểm y tế ngoài giờ hành chính hoặc vào ngày nghỉ, ngày lễ</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78"/>
        <w:gridCol w:w="1292"/>
        <w:gridCol w:w="1355"/>
      </w:tblGrid>
      <w:tr w:rsidR="00ED4894" w14:paraId="17459E81" w14:textId="77777777">
        <w:tblPrEx>
          <w:tblCellMar>
            <w:top w:w="0" w:type="dxa"/>
            <w:bottom w:w="0" w:type="dxa"/>
          </w:tblCellMar>
        </w:tblPrEx>
        <w:tc>
          <w:tcPr>
            <w:tcW w:w="6000" w:type="dxa"/>
          </w:tcPr>
          <w:p w14:paraId="49528D2A" w14:textId="77777777" w:rsidR="00ED4894" w:rsidRDefault="00ED4894"/>
          <w:p w14:paraId="7EFE6A28"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013B81F0" w14:textId="77777777" w:rsidR="00ED4894" w:rsidRDefault="00ED4894"/>
          <w:p w14:paraId="62F47BF9"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5844EA9B" w14:textId="77777777" w:rsidR="00ED4894" w:rsidRDefault="00ED4894"/>
          <w:p w14:paraId="66E917DE"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205021A1" w14:textId="77777777">
        <w:tblPrEx>
          <w:tblCellMar>
            <w:top w:w="0" w:type="dxa"/>
            <w:bottom w:w="0" w:type="dxa"/>
          </w:tblCellMar>
        </w:tblPrEx>
        <w:tc>
          <w:tcPr>
            <w:tcW w:w="0" w:type="auto"/>
          </w:tcPr>
          <w:p w14:paraId="64DE8231" w14:textId="77777777" w:rsidR="00ED4894" w:rsidRDefault="00ED4894"/>
          <w:p w14:paraId="47358F01" w14:textId="77777777" w:rsidR="00ED4894" w:rsidRDefault="00846D13">
            <w:pPr>
              <w:spacing w:after="0" w:line="276" w:lineRule="auto"/>
            </w:pPr>
            <w:r>
              <w:rPr>
                <w:rFonts w:ascii="Times New Roman" w:eastAsia="Times New Roman" w:hAnsi="Times New Roman" w:cs="Times New Roman"/>
                <w:sz w:val="26"/>
              </w:rPr>
              <w:t>Văn bản thông báo về việc thực hiện hoạt động khám bệnh, chữa bệnh ngoài giờ hành chính hoặc vào ngày nghỉ, ngày lễ</w:t>
            </w:r>
          </w:p>
        </w:tc>
        <w:tc>
          <w:tcPr>
            <w:tcW w:w="0" w:type="auto"/>
          </w:tcPr>
          <w:p w14:paraId="6CBC0735" w14:textId="77777777" w:rsidR="00ED4894" w:rsidRDefault="00ED4894"/>
        </w:tc>
        <w:tc>
          <w:tcPr>
            <w:tcW w:w="0" w:type="auto"/>
          </w:tcPr>
          <w:p w14:paraId="046D6109" w14:textId="77777777" w:rsidR="00ED4894" w:rsidRDefault="00ED4894"/>
          <w:p w14:paraId="73305595"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D26D190"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Việc thanh toán, quyết toán giữa cơ sở khám bệnh, chữa bệnh và cơ quan bảo hiểm xã hội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44"/>
        <w:gridCol w:w="1467"/>
        <w:gridCol w:w="1514"/>
      </w:tblGrid>
      <w:tr w:rsidR="00ED4894" w14:paraId="3B98F221" w14:textId="77777777">
        <w:tblPrEx>
          <w:tblCellMar>
            <w:top w:w="0" w:type="dxa"/>
            <w:bottom w:w="0" w:type="dxa"/>
          </w:tblCellMar>
        </w:tblPrEx>
        <w:tc>
          <w:tcPr>
            <w:tcW w:w="6000" w:type="dxa"/>
          </w:tcPr>
          <w:p w14:paraId="1542645F" w14:textId="77777777" w:rsidR="00ED4894" w:rsidRDefault="00ED4894"/>
          <w:p w14:paraId="2F1148EF"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4527CA0C" w14:textId="77777777" w:rsidR="00ED4894" w:rsidRDefault="00ED4894"/>
          <w:p w14:paraId="227F044E"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7DD4E4EC" w14:textId="77777777" w:rsidR="00ED4894" w:rsidRDefault="00ED4894"/>
          <w:p w14:paraId="6B5F219A"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494A17FE" w14:textId="77777777">
        <w:tblPrEx>
          <w:tblCellMar>
            <w:top w:w="0" w:type="dxa"/>
            <w:bottom w:w="0" w:type="dxa"/>
          </w:tblCellMar>
        </w:tblPrEx>
        <w:tc>
          <w:tcPr>
            <w:tcW w:w="0" w:type="auto"/>
          </w:tcPr>
          <w:p w14:paraId="758DA617" w14:textId="77777777" w:rsidR="00ED4894" w:rsidRDefault="00ED4894"/>
          <w:p w14:paraId="5629B2D8" w14:textId="77777777" w:rsidR="00ED4894" w:rsidRDefault="00846D13">
            <w:pPr>
              <w:spacing w:after="0" w:line="276" w:lineRule="auto"/>
            </w:pPr>
            <w:r>
              <w:rPr>
                <w:rFonts w:ascii="Times New Roman" w:eastAsia="Times New Roman" w:hAnsi="Times New Roman" w:cs="Times New Roman"/>
                <w:sz w:val="26"/>
              </w:rPr>
              <w:t>Bản tổng hợp đề nghị thanh toán chi phí khám bệnh, chữa bệnh bảo hiểm y tế của tháng trước</w:t>
            </w:r>
          </w:p>
        </w:tc>
        <w:tc>
          <w:tcPr>
            <w:tcW w:w="0" w:type="auto"/>
          </w:tcPr>
          <w:p w14:paraId="18BEF74A" w14:textId="77777777" w:rsidR="00ED4894" w:rsidRDefault="00ED4894"/>
        </w:tc>
        <w:tc>
          <w:tcPr>
            <w:tcW w:w="0" w:type="auto"/>
          </w:tcPr>
          <w:p w14:paraId="71219E28" w14:textId="77777777" w:rsidR="00ED4894" w:rsidRDefault="00ED4894"/>
          <w:p w14:paraId="31BD614A"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355FF64D" w14:textId="77777777">
        <w:tblPrEx>
          <w:tblCellMar>
            <w:top w:w="0" w:type="dxa"/>
            <w:bottom w:w="0" w:type="dxa"/>
          </w:tblCellMar>
        </w:tblPrEx>
        <w:tc>
          <w:tcPr>
            <w:tcW w:w="0" w:type="auto"/>
          </w:tcPr>
          <w:p w14:paraId="3A874962" w14:textId="77777777" w:rsidR="00ED4894" w:rsidRDefault="00ED4894"/>
          <w:p w14:paraId="731713D5" w14:textId="77777777" w:rsidR="00ED4894" w:rsidRDefault="00846D13">
            <w:pPr>
              <w:spacing w:after="0" w:line="276" w:lineRule="auto"/>
            </w:pPr>
            <w:r>
              <w:rPr>
                <w:rFonts w:ascii="Times New Roman" w:eastAsia="Times New Roman" w:hAnsi="Times New Roman" w:cs="Times New Roman"/>
                <w:sz w:val="26"/>
              </w:rPr>
              <w:t>Báo cáo Quyết toán chi phí khám bệnh, chữa bệnh bảo hiểm y  tế của Quý trước</w:t>
            </w:r>
          </w:p>
        </w:tc>
        <w:tc>
          <w:tcPr>
            <w:tcW w:w="0" w:type="auto"/>
          </w:tcPr>
          <w:p w14:paraId="5760CD69" w14:textId="77777777" w:rsidR="00ED4894" w:rsidRDefault="00ED4894"/>
        </w:tc>
        <w:tc>
          <w:tcPr>
            <w:tcW w:w="0" w:type="auto"/>
          </w:tcPr>
          <w:p w14:paraId="37B518E0" w14:textId="77777777" w:rsidR="00ED4894" w:rsidRDefault="00ED4894"/>
          <w:p w14:paraId="39881A26"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D78C14A" w14:textId="77777777" w:rsidR="00ED4894" w:rsidRDefault="00846D13">
      <w:pPr>
        <w:shd w:val="clear" w:color="auto" w:fill="F2F6F9"/>
        <w:spacing w:before="120" w:after="0" w:line="276" w:lineRule="auto"/>
        <w:jc w:val="both"/>
      </w:pPr>
      <w:r>
        <w:rPr>
          <w:rFonts w:ascii="Times New Roman" w:eastAsia="Times New Roman" w:hAnsi="Times New Roman" w:cs="Times New Roman"/>
          <w:b/>
          <w:sz w:val="26"/>
        </w:rPr>
        <w:t>Việc tạm ứng kinh phí của cơ quan bảo hiểm xã hội cho cơ sở khám bệnh, chữa bệnh bảo hiểm y tế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21"/>
        <w:gridCol w:w="1217"/>
        <w:gridCol w:w="1287"/>
      </w:tblGrid>
      <w:tr w:rsidR="00ED4894" w14:paraId="53398901" w14:textId="77777777">
        <w:tblPrEx>
          <w:tblCellMar>
            <w:top w:w="0" w:type="dxa"/>
            <w:bottom w:w="0" w:type="dxa"/>
          </w:tblCellMar>
        </w:tblPrEx>
        <w:tc>
          <w:tcPr>
            <w:tcW w:w="6000" w:type="dxa"/>
          </w:tcPr>
          <w:p w14:paraId="5C9BFB23" w14:textId="77777777" w:rsidR="00ED4894" w:rsidRDefault="00ED4894"/>
          <w:p w14:paraId="66FE63F3" w14:textId="77777777" w:rsidR="00ED4894" w:rsidRDefault="00846D13">
            <w:pPr>
              <w:spacing w:after="0" w:line="276" w:lineRule="auto"/>
              <w:jc w:val="center"/>
            </w:pPr>
            <w:r>
              <w:rPr>
                <w:rFonts w:ascii="Times New Roman" w:eastAsia="Times New Roman" w:hAnsi="Times New Roman" w:cs="Times New Roman"/>
                <w:b/>
                <w:sz w:val="26"/>
              </w:rPr>
              <w:t>Tên giấy tờ</w:t>
            </w:r>
          </w:p>
        </w:tc>
        <w:tc>
          <w:tcPr>
            <w:tcW w:w="2000" w:type="dxa"/>
          </w:tcPr>
          <w:p w14:paraId="484D533E" w14:textId="77777777" w:rsidR="00ED4894" w:rsidRDefault="00ED4894"/>
          <w:p w14:paraId="597F55ED" w14:textId="77777777" w:rsidR="00ED4894" w:rsidRDefault="00846D13">
            <w:pPr>
              <w:spacing w:after="0" w:line="276" w:lineRule="auto"/>
              <w:jc w:val="center"/>
            </w:pPr>
            <w:r>
              <w:rPr>
                <w:rFonts w:ascii="Times New Roman" w:eastAsia="Times New Roman" w:hAnsi="Times New Roman" w:cs="Times New Roman"/>
                <w:b/>
                <w:sz w:val="26"/>
              </w:rPr>
              <w:t>Mẫu đơn, tờ khai</w:t>
            </w:r>
          </w:p>
        </w:tc>
        <w:tc>
          <w:tcPr>
            <w:tcW w:w="2000" w:type="dxa"/>
          </w:tcPr>
          <w:p w14:paraId="05104E3A" w14:textId="77777777" w:rsidR="00ED4894" w:rsidRDefault="00ED4894"/>
          <w:p w14:paraId="5D95B47A" w14:textId="77777777" w:rsidR="00ED4894" w:rsidRDefault="00846D13">
            <w:pPr>
              <w:spacing w:after="0" w:line="276" w:lineRule="auto"/>
              <w:jc w:val="center"/>
            </w:pPr>
            <w:r>
              <w:rPr>
                <w:rFonts w:ascii="Times New Roman" w:eastAsia="Times New Roman" w:hAnsi="Times New Roman" w:cs="Times New Roman"/>
                <w:b/>
                <w:sz w:val="26"/>
              </w:rPr>
              <w:t>Số lượng</w:t>
            </w:r>
          </w:p>
        </w:tc>
      </w:tr>
      <w:tr w:rsidR="00ED4894" w14:paraId="2DD3F81F" w14:textId="77777777">
        <w:tblPrEx>
          <w:tblCellMar>
            <w:top w:w="0" w:type="dxa"/>
            <w:bottom w:w="0" w:type="dxa"/>
          </w:tblCellMar>
        </w:tblPrEx>
        <w:tc>
          <w:tcPr>
            <w:tcW w:w="0" w:type="auto"/>
          </w:tcPr>
          <w:p w14:paraId="6149DFA6" w14:textId="77777777" w:rsidR="00ED4894" w:rsidRDefault="00ED4894"/>
          <w:p w14:paraId="6A15DFE8" w14:textId="77777777" w:rsidR="00ED4894" w:rsidRDefault="00846D13">
            <w:pPr>
              <w:spacing w:after="0" w:line="276" w:lineRule="auto"/>
            </w:pPr>
            <w:r>
              <w:rPr>
                <w:rFonts w:ascii="Times New Roman" w:eastAsia="Times New Roman" w:hAnsi="Times New Roman" w:cs="Times New Roman"/>
                <w:sz w:val="26"/>
              </w:rPr>
              <w:t>Báo cáo Quyết toán chi phí khám bệnh, chữa bệnh bảo hiểm y tế của Quý trước.</w:t>
            </w:r>
          </w:p>
        </w:tc>
        <w:tc>
          <w:tcPr>
            <w:tcW w:w="0" w:type="auto"/>
          </w:tcPr>
          <w:p w14:paraId="643BCA1B" w14:textId="77777777" w:rsidR="00ED4894" w:rsidRDefault="00ED4894"/>
        </w:tc>
        <w:tc>
          <w:tcPr>
            <w:tcW w:w="0" w:type="auto"/>
          </w:tcPr>
          <w:p w14:paraId="64C54D31" w14:textId="77777777" w:rsidR="00ED4894" w:rsidRDefault="00ED4894"/>
          <w:p w14:paraId="002F3369"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4894" w14:paraId="48C2D7B6" w14:textId="77777777">
        <w:tblPrEx>
          <w:tblCellMar>
            <w:top w:w="0" w:type="dxa"/>
            <w:bottom w:w="0" w:type="dxa"/>
          </w:tblCellMar>
        </w:tblPrEx>
        <w:tc>
          <w:tcPr>
            <w:tcW w:w="0" w:type="auto"/>
          </w:tcPr>
          <w:p w14:paraId="37E280D9" w14:textId="77777777" w:rsidR="00ED4894" w:rsidRDefault="00ED4894"/>
          <w:p w14:paraId="0775E6EB" w14:textId="77777777" w:rsidR="00ED4894" w:rsidRDefault="00846D13">
            <w:pPr>
              <w:spacing w:after="0" w:line="276" w:lineRule="auto"/>
            </w:pPr>
            <w:r>
              <w:rPr>
                <w:rFonts w:ascii="Times New Roman" w:eastAsia="Times New Roman" w:hAnsi="Times New Roman" w:cs="Times New Roman"/>
                <w:sz w:val="26"/>
              </w:rPr>
              <w:t>Báo cáo chi phí khám bệnh, chữa bệnh của tháng trước (Đối với trường hợp lần đầu ký hợp đồng khám bệnh, chữa bệnh bảo hiểm y tế)</w:t>
            </w:r>
          </w:p>
        </w:tc>
        <w:tc>
          <w:tcPr>
            <w:tcW w:w="0" w:type="auto"/>
          </w:tcPr>
          <w:p w14:paraId="51286FEE" w14:textId="77777777" w:rsidR="00ED4894" w:rsidRDefault="00ED4894"/>
        </w:tc>
        <w:tc>
          <w:tcPr>
            <w:tcW w:w="0" w:type="auto"/>
          </w:tcPr>
          <w:p w14:paraId="175ADDE5" w14:textId="77777777" w:rsidR="00ED4894" w:rsidRDefault="00ED4894"/>
          <w:p w14:paraId="13FF6B44" w14:textId="77777777" w:rsidR="00ED4894" w:rsidRDefault="00846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5DA29F2" w14:textId="77777777" w:rsidR="00ED4894" w:rsidRDefault="00846D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w:t>
      </w:r>
    </w:p>
    <w:p w14:paraId="4D881808" w14:textId="77777777" w:rsidR="00ED4894" w:rsidRDefault="00846D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w:t>
      </w:r>
    </w:p>
    <w:p w14:paraId="790ED321" w14:textId="77777777" w:rsidR="00ED4894" w:rsidRDefault="00846D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8C68C3A" w14:textId="77777777" w:rsidR="00ED4894" w:rsidRDefault="00846D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3FE7500" w14:textId="77777777" w:rsidR="00ED4894" w:rsidRDefault="00846D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3DB3201" w14:textId="77777777" w:rsidR="00ED4894" w:rsidRDefault="00846D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1A2243" w14:textId="77777777" w:rsidR="00ED4894" w:rsidRDefault="00846D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Cơ sở khám bệnh , chữa bệnh nhận được chi phí khám, chữa bệnh bảo hiểm y tế theo thông báo số quyết toán của cơ quan bảo hiểm xã hội</w:t>
      </w:r>
    </w:p>
    <w:p w14:paraId="54A12C45" w14:textId="77777777" w:rsidR="00ED4894" w:rsidRDefault="00846D1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0"/>
        <w:gridCol w:w="5329"/>
        <w:gridCol w:w="899"/>
        <w:gridCol w:w="1437"/>
      </w:tblGrid>
      <w:tr w:rsidR="00ED4894" w14:paraId="2C9ACF3E" w14:textId="77777777">
        <w:tblPrEx>
          <w:tblCellMar>
            <w:top w:w="0" w:type="dxa"/>
            <w:bottom w:w="0" w:type="dxa"/>
          </w:tblCellMar>
        </w:tblPrEx>
        <w:tc>
          <w:tcPr>
            <w:tcW w:w="2000" w:type="dxa"/>
          </w:tcPr>
          <w:p w14:paraId="462C3B4B" w14:textId="77777777" w:rsidR="00ED4894" w:rsidRDefault="00ED4894"/>
          <w:p w14:paraId="29EB7920" w14:textId="77777777" w:rsidR="00ED4894" w:rsidRDefault="00846D13">
            <w:pPr>
              <w:spacing w:after="0" w:line="276" w:lineRule="auto"/>
              <w:jc w:val="center"/>
            </w:pPr>
            <w:r>
              <w:rPr>
                <w:rFonts w:ascii="Times New Roman" w:eastAsia="Times New Roman" w:hAnsi="Times New Roman" w:cs="Times New Roman"/>
                <w:b/>
                <w:sz w:val="26"/>
              </w:rPr>
              <w:t>Số ký hiệu</w:t>
            </w:r>
          </w:p>
        </w:tc>
        <w:tc>
          <w:tcPr>
            <w:tcW w:w="3500" w:type="dxa"/>
          </w:tcPr>
          <w:p w14:paraId="4992820A" w14:textId="77777777" w:rsidR="00ED4894" w:rsidRDefault="00ED4894"/>
          <w:p w14:paraId="14938311" w14:textId="77777777" w:rsidR="00ED4894" w:rsidRDefault="00846D13">
            <w:pPr>
              <w:spacing w:after="0" w:line="276" w:lineRule="auto"/>
              <w:jc w:val="center"/>
            </w:pPr>
            <w:r>
              <w:rPr>
                <w:rFonts w:ascii="Times New Roman" w:eastAsia="Times New Roman" w:hAnsi="Times New Roman" w:cs="Times New Roman"/>
                <w:b/>
                <w:sz w:val="26"/>
              </w:rPr>
              <w:t>Trích yếu</w:t>
            </w:r>
          </w:p>
        </w:tc>
        <w:tc>
          <w:tcPr>
            <w:tcW w:w="1500" w:type="dxa"/>
          </w:tcPr>
          <w:p w14:paraId="7A17D6F3" w14:textId="77777777" w:rsidR="00ED4894" w:rsidRDefault="00ED4894"/>
          <w:p w14:paraId="7F9E15D2" w14:textId="77777777" w:rsidR="00ED4894" w:rsidRDefault="00846D13">
            <w:pPr>
              <w:spacing w:after="0" w:line="276" w:lineRule="auto"/>
              <w:jc w:val="center"/>
            </w:pPr>
            <w:r>
              <w:rPr>
                <w:rFonts w:ascii="Times New Roman" w:eastAsia="Times New Roman" w:hAnsi="Times New Roman" w:cs="Times New Roman"/>
                <w:b/>
                <w:sz w:val="26"/>
              </w:rPr>
              <w:t>Ngày ban hành</w:t>
            </w:r>
          </w:p>
        </w:tc>
        <w:tc>
          <w:tcPr>
            <w:tcW w:w="3000" w:type="dxa"/>
          </w:tcPr>
          <w:p w14:paraId="6EB808B4" w14:textId="77777777" w:rsidR="00ED4894" w:rsidRDefault="00ED4894"/>
          <w:p w14:paraId="2532E57E" w14:textId="77777777" w:rsidR="00ED4894" w:rsidRDefault="00846D13">
            <w:pPr>
              <w:spacing w:after="0" w:line="276" w:lineRule="auto"/>
              <w:jc w:val="center"/>
            </w:pPr>
            <w:r>
              <w:rPr>
                <w:rFonts w:ascii="Times New Roman" w:eastAsia="Times New Roman" w:hAnsi="Times New Roman" w:cs="Times New Roman"/>
                <w:b/>
                <w:sz w:val="26"/>
              </w:rPr>
              <w:t>Cơ quan ban hành</w:t>
            </w:r>
          </w:p>
        </w:tc>
      </w:tr>
      <w:tr w:rsidR="00ED4894" w14:paraId="1F2EFAFA" w14:textId="77777777">
        <w:tblPrEx>
          <w:tblCellMar>
            <w:top w:w="0" w:type="dxa"/>
            <w:bottom w:w="0" w:type="dxa"/>
          </w:tblCellMar>
        </w:tblPrEx>
        <w:tc>
          <w:tcPr>
            <w:tcW w:w="0" w:type="auto"/>
          </w:tcPr>
          <w:p w14:paraId="4A0D4767" w14:textId="77777777" w:rsidR="00ED4894" w:rsidRDefault="00ED4894"/>
          <w:p w14:paraId="7A791800" w14:textId="77777777" w:rsidR="00ED4894" w:rsidRDefault="00846D13">
            <w:pPr>
              <w:spacing w:after="0" w:line="276" w:lineRule="auto"/>
            </w:pPr>
            <w:r>
              <w:rPr>
                <w:rFonts w:ascii="Times New Roman" w:eastAsia="Times New Roman" w:hAnsi="Times New Roman" w:cs="Times New Roman"/>
                <w:sz w:val="26"/>
              </w:rPr>
              <w:t>Luật 46/2014/QH13</w:t>
            </w:r>
          </w:p>
        </w:tc>
        <w:tc>
          <w:tcPr>
            <w:tcW w:w="0" w:type="auto"/>
          </w:tcPr>
          <w:p w14:paraId="129AB32F" w14:textId="77777777" w:rsidR="00ED4894" w:rsidRDefault="00ED4894"/>
          <w:p w14:paraId="53D8DD3A" w14:textId="77777777" w:rsidR="00ED4894" w:rsidRDefault="00846D13">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14:paraId="41ABDB07" w14:textId="77777777" w:rsidR="00ED4894" w:rsidRDefault="00ED4894"/>
          <w:p w14:paraId="78FE7707" w14:textId="77777777" w:rsidR="00ED4894" w:rsidRDefault="00846D13">
            <w:pPr>
              <w:spacing w:after="0" w:line="276" w:lineRule="auto"/>
            </w:pPr>
            <w:r>
              <w:rPr>
                <w:rFonts w:ascii="Times New Roman" w:eastAsia="Times New Roman" w:hAnsi="Times New Roman" w:cs="Times New Roman"/>
                <w:sz w:val="26"/>
              </w:rPr>
              <w:t>13-06-2014</w:t>
            </w:r>
          </w:p>
        </w:tc>
        <w:tc>
          <w:tcPr>
            <w:tcW w:w="0" w:type="auto"/>
          </w:tcPr>
          <w:p w14:paraId="55293F6D" w14:textId="77777777" w:rsidR="00ED4894" w:rsidRDefault="00ED4894"/>
          <w:p w14:paraId="2A732A6A" w14:textId="77777777" w:rsidR="00ED4894" w:rsidRDefault="00846D13">
            <w:pPr>
              <w:spacing w:after="0" w:line="276" w:lineRule="auto"/>
            </w:pPr>
            <w:r>
              <w:rPr>
                <w:rFonts w:ascii="Times New Roman" w:eastAsia="Times New Roman" w:hAnsi="Times New Roman" w:cs="Times New Roman"/>
                <w:sz w:val="26"/>
              </w:rPr>
              <w:t>Quốc Hội</w:t>
            </w:r>
          </w:p>
        </w:tc>
      </w:tr>
      <w:tr w:rsidR="00ED4894" w14:paraId="1CD06D7F" w14:textId="77777777">
        <w:tblPrEx>
          <w:tblCellMar>
            <w:top w:w="0" w:type="dxa"/>
            <w:bottom w:w="0" w:type="dxa"/>
          </w:tblCellMar>
        </w:tblPrEx>
        <w:tc>
          <w:tcPr>
            <w:tcW w:w="0" w:type="auto"/>
          </w:tcPr>
          <w:p w14:paraId="685F13D2" w14:textId="77777777" w:rsidR="00ED4894" w:rsidRDefault="00ED4894"/>
          <w:p w14:paraId="228858AD" w14:textId="77777777" w:rsidR="00ED4894" w:rsidRDefault="00846D13">
            <w:pPr>
              <w:spacing w:after="0" w:line="276" w:lineRule="auto"/>
            </w:pPr>
            <w:r>
              <w:rPr>
                <w:rFonts w:ascii="Times New Roman" w:eastAsia="Times New Roman" w:hAnsi="Times New Roman" w:cs="Times New Roman"/>
                <w:sz w:val="26"/>
              </w:rPr>
              <w:t>25/2008/QH12</w:t>
            </w:r>
          </w:p>
        </w:tc>
        <w:tc>
          <w:tcPr>
            <w:tcW w:w="0" w:type="auto"/>
          </w:tcPr>
          <w:p w14:paraId="63BEA236" w14:textId="77777777" w:rsidR="00ED4894" w:rsidRDefault="00ED4894"/>
          <w:p w14:paraId="2361E8C1" w14:textId="77777777" w:rsidR="00ED4894" w:rsidRDefault="00846D13">
            <w:pPr>
              <w:spacing w:after="0" w:line="276" w:lineRule="auto"/>
            </w:pPr>
            <w:r>
              <w:rPr>
                <w:rFonts w:ascii="Times New Roman" w:eastAsia="Times New Roman" w:hAnsi="Times New Roman" w:cs="Times New Roman"/>
                <w:sz w:val="26"/>
              </w:rPr>
              <w:t>Luật 25/2008/QH12</w:t>
            </w:r>
          </w:p>
        </w:tc>
        <w:tc>
          <w:tcPr>
            <w:tcW w:w="0" w:type="auto"/>
          </w:tcPr>
          <w:p w14:paraId="7E2B069B" w14:textId="77777777" w:rsidR="00ED4894" w:rsidRDefault="00ED4894"/>
          <w:p w14:paraId="53A967FC" w14:textId="77777777" w:rsidR="00ED4894" w:rsidRDefault="00846D13">
            <w:pPr>
              <w:spacing w:after="0" w:line="276" w:lineRule="auto"/>
            </w:pPr>
            <w:r>
              <w:rPr>
                <w:rFonts w:ascii="Times New Roman" w:eastAsia="Times New Roman" w:hAnsi="Times New Roman" w:cs="Times New Roman"/>
                <w:sz w:val="26"/>
              </w:rPr>
              <w:t>14-11-2008</w:t>
            </w:r>
          </w:p>
        </w:tc>
        <w:tc>
          <w:tcPr>
            <w:tcW w:w="0" w:type="auto"/>
          </w:tcPr>
          <w:p w14:paraId="25071C2B" w14:textId="77777777" w:rsidR="00ED4894" w:rsidRDefault="00ED4894"/>
        </w:tc>
      </w:tr>
      <w:tr w:rsidR="00ED4894" w14:paraId="73EA4F91" w14:textId="77777777">
        <w:tblPrEx>
          <w:tblCellMar>
            <w:top w:w="0" w:type="dxa"/>
            <w:bottom w:w="0" w:type="dxa"/>
          </w:tblCellMar>
        </w:tblPrEx>
        <w:tc>
          <w:tcPr>
            <w:tcW w:w="0" w:type="auto"/>
          </w:tcPr>
          <w:p w14:paraId="03056CBE" w14:textId="77777777" w:rsidR="00ED4894" w:rsidRDefault="00ED4894"/>
          <w:p w14:paraId="02297311" w14:textId="77777777" w:rsidR="00ED4894" w:rsidRDefault="00846D13">
            <w:pPr>
              <w:spacing w:after="0" w:line="276" w:lineRule="auto"/>
            </w:pPr>
            <w:r>
              <w:rPr>
                <w:rFonts w:ascii="Times New Roman" w:eastAsia="Times New Roman" w:hAnsi="Times New Roman" w:cs="Times New Roman"/>
                <w:sz w:val="26"/>
              </w:rPr>
              <w:t>51/2024/QH15</w:t>
            </w:r>
          </w:p>
        </w:tc>
        <w:tc>
          <w:tcPr>
            <w:tcW w:w="0" w:type="auto"/>
          </w:tcPr>
          <w:p w14:paraId="0B3015F1" w14:textId="77777777" w:rsidR="00ED4894" w:rsidRDefault="00ED4894"/>
          <w:p w14:paraId="4EC682F4" w14:textId="77777777" w:rsidR="00ED4894" w:rsidRDefault="00846D13">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14:paraId="309ABD00" w14:textId="77777777" w:rsidR="00ED4894" w:rsidRDefault="00ED4894"/>
          <w:p w14:paraId="3B518204" w14:textId="77777777" w:rsidR="00ED4894" w:rsidRDefault="00846D13">
            <w:pPr>
              <w:spacing w:after="0" w:line="276" w:lineRule="auto"/>
            </w:pPr>
            <w:r>
              <w:rPr>
                <w:rFonts w:ascii="Times New Roman" w:eastAsia="Times New Roman" w:hAnsi="Times New Roman" w:cs="Times New Roman"/>
                <w:sz w:val="26"/>
              </w:rPr>
              <w:t>27-11-2024</w:t>
            </w:r>
          </w:p>
        </w:tc>
        <w:tc>
          <w:tcPr>
            <w:tcW w:w="0" w:type="auto"/>
          </w:tcPr>
          <w:p w14:paraId="40F5A533" w14:textId="77777777" w:rsidR="00ED4894" w:rsidRDefault="00ED4894"/>
          <w:p w14:paraId="2ACF75E3" w14:textId="77777777" w:rsidR="00ED4894" w:rsidRDefault="00846D13">
            <w:pPr>
              <w:spacing w:after="0" w:line="276" w:lineRule="auto"/>
            </w:pPr>
            <w:r>
              <w:rPr>
                <w:rFonts w:ascii="Times New Roman" w:eastAsia="Times New Roman" w:hAnsi="Times New Roman" w:cs="Times New Roman"/>
                <w:sz w:val="26"/>
              </w:rPr>
              <w:t>Quốc Hội</w:t>
            </w:r>
          </w:p>
        </w:tc>
      </w:tr>
      <w:tr w:rsidR="00ED4894" w14:paraId="75128248" w14:textId="77777777">
        <w:tblPrEx>
          <w:tblCellMar>
            <w:top w:w="0" w:type="dxa"/>
            <w:bottom w:w="0" w:type="dxa"/>
          </w:tblCellMar>
        </w:tblPrEx>
        <w:tc>
          <w:tcPr>
            <w:tcW w:w="0" w:type="auto"/>
          </w:tcPr>
          <w:p w14:paraId="7EFB602A" w14:textId="77777777" w:rsidR="00ED4894" w:rsidRDefault="00ED4894"/>
          <w:p w14:paraId="0CA51A15" w14:textId="77777777" w:rsidR="00ED4894" w:rsidRDefault="00846D13">
            <w:pPr>
              <w:spacing w:after="0" w:line="276" w:lineRule="auto"/>
            </w:pPr>
            <w:r>
              <w:rPr>
                <w:rFonts w:ascii="Times New Roman" w:eastAsia="Times New Roman" w:hAnsi="Times New Roman" w:cs="Times New Roman"/>
                <w:sz w:val="26"/>
              </w:rPr>
              <w:t>188/2025/NĐ-CP</w:t>
            </w:r>
          </w:p>
        </w:tc>
        <w:tc>
          <w:tcPr>
            <w:tcW w:w="0" w:type="auto"/>
          </w:tcPr>
          <w:p w14:paraId="34E63D9E" w14:textId="77777777" w:rsidR="00ED4894" w:rsidRDefault="00ED4894"/>
          <w:p w14:paraId="7FD6B3C1" w14:textId="77777777" w:rsidR="00ED4894" w:rsidRDefault="00846D13">
            <w:pPr>
              <w:spacing w:after="0" w:line="276" w:lineRule="auto"/>
            </w:pPr>
            <w:r>
              <w:rPr>
                <w:rFonts w:ascii="Times New Roman" w:eastAsia="Times New Roman" w:hAnsi="Times New Roman" w:cs="Times New Roman"/>
                <w:sz w:val="26"/>
              </w:rPr>
              <w:t>Nghị định quy định chi tiết và hướng dẫn thi hành một số điều của Luật Bảo hiểm y tế (188/2025/NĐ-CP ngày 01/7/2025)</w:t>
            </w:r>
          </w:p>
        </w:tc>
        <w:tc>
          <w:tcPr>
            <w:tcW w:w="0" w:type="auto"/>
          </w:tcPr>
          <w:p w14:paraId="6ABAFFC0" w14:textId="77777777" w:rsidR="00ED4894" w:rsidRDefault="00ED4894"/>
          <w:p w14:paraId="22F266B5" w14:textId="77777777" w:rsidR="00ED4894" w:rsidRDefault="00846D13">
            <w:pPr>
              <w:spacing w:after="0" w:line="276" w:lineRule="auto"/>
            </w:pPr>
            <w:r>
              <w:rPr>
                <w:rFonts w:ascii="Times New Roman" w:eastAsia="Times New Roman" w:hAnsi="Times New Roman" w:cs="Times New Roman"/>
                <w:sz w:val="26"/>
              </w:rPr>
              <w:t>01-07-2025</w:t>
            </w:r>
          </w:p>
        </w:tc>
        <w:tc>
          <w:tcPr>
            <w:tcW w:w="0" w:type="auto"/>
          </w:tcPr>
          <w:p w14:paraId="485AEE31" w14:textId="77777777" w:rsidR="00ED4894" w:rsidRDefault="00ED4894"/>
          <w:p w14:paraId="6370AFBB" w14:textId="77777777" w:rsidR="00ED4894" w:rsidRDefault="00846D13">
            <w:pPr>
              <w:spacing w:after="0" w:line="276" w:lineRule="auto"/>
            </w:pPr>
            <w:r>
              <w:rPr>
                <w:rFonts w:ascii="Times New Roman" w:eastAsia="Times New Roman" w:hAnsi="Times New Roman" w:cs="Times New Roman"/>
                <w:sz w:val="26"/>
              </w:rPr>
              <w:t>Chính phủ</w:t>
            </w:r>
          </w:p>
        </w:tc>
      </w:tr>
    </w:tbl>
    <w:p w14:paraId="621CECD4" w14:textId="77777777" w:rsidR="00ED4894" w:rsidRDefault="00846D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a) Việc tạm ứng kinh phí của cơ quan bảo hiểm xã hội cho cơ sở khám bệnh, chữa bệnh bảo hiểm y tế được thực hiện hằng quý như sau: -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 b) Việc thanh toán, quyết toán giữa cơ sở khám bệnh, chữa bệnh và cơ quan bảo hiểm xã hội được thực hiện như sau: - Cơ </w:t>
      </w:r>
      <w:r>
        <w:rPr>
          <w:rFonts w:ascii="Times New Roman" w:eastAsia="Times New Roman" w:hAnsi="Times New Roman" w:cs="Times New Roman"/>
          <w:sz w:val="26"/>
        </w:rPr>
        <w:t>quan bảo hiểm xã hội thanh toán chi phí khám bệnh, chữa bệnh bảo hiểm y tế với cơ sở khám bệnh, chữa bệnh theo hợp đồng khám bệnh, chữa bệnh bảo hiểm y tế. - Việc thẩm định quyết toán năm đối với quỹ bảo hiểm y tế phải được thực hiện trước ngày 01 tháng 10 năm sau. c) Trường hợp thanh toán chi phí thuốc, thiết bị y tế được điều chuyển giữa các cơ sở khám bệnh, chữa bệnh bảo hiểm y tế - Việc xác định cơ sở khám bệnh, chữa bệnh không có sẵn thuốc, thiết bị y tế tại thời điểm kê đơn, chỉ định và không thể thay</w:t>
      </w:r>
      <w:r>
        <w:rPr>
          <w:rFonts w:ascii="Times New Roman" w:eastAsia="Times New Roman" w:hAnsi="Times New Roman" w:cs="Times New Roman"/>
          <w:sz w:val="26"/>
        </w:rPr>
        <w:t xml:space="preserve"> thế bằng thuốc, thiết bị y tế khác được quy định như sau:  + Cơ sở khám bệnh, chữa bệnh không có thuốc thương mại nào chứa hoạt chất mà người bệnh được chỉ định hoặc có thuốc cùng hoạt chất nhưng khác nồng độ hoặc hàm lượng hoặc dạng bào chế hoặc đường dùng mà không thể thay thế để chỉ định cho người bệnh.  + Cơ sở khám bệnh, chữa bệnh không có thiết bị y tế mà người bệnh được chỉ định sử dụng và không có thiết bị y tế để thay thế, trừ thiết bị y tế chẩn đoán in vitro, thiết bị y tế đặc thù cá nhân, thiết </w:t>
      </w:r>
      <w:r>
        <w:rPr>
          <w:rFonts w:ascii="Times New Roman" w:eastAsia="Times New Roman" w:hAnsi="Times New Roman" w:cs="Times New Roman"/>
          <w:sz w:val="26"/>
        </w:rPr>
        <w:t xml:space="preserve">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được sửa đổi, bổ sung bởi Nghị định số 07/2023/NĐ-CP ngày 03 tháng 3 năm 2023 và Nghị định số 04/2025/NĐ-CP ngày 01 tháng 01 năm 2025 của Chính phủ.  - Tại thời điểm người bệnh được kê đơn, chỉ định, cơ sở khám bệnh, chữa bệnh không có sẵn thuốc, thiết bị y tế do một trong các nguyên </w:t>
      </w:r>
      <w:r>
        <w:rPr>
          <w:rFonts w:ascii="Times New Roman" w:eastAsia="Times New Roman" w:hAnsi="Times New Roman" w:cs="Times New Roman"/>
          <w:sz w:val="26"/>
        </w:rPr>
        <w:t>nhân sau đây: + Trong giai đoạn dịch bệnh nhóm A đối với cơ sở khám bệnh, chữa bệnh bị phong tỏa, cách ly y tế hoặc nằm trong vùng thực hiện việc giãn cách xã hội hoặc thực hiện nhiệm vụ phòng, chống dịch bệnh, không tiếp nhận được người bệnh. + Cơ sở khám bệnh, chữa bệnh đang trong quá trình lựa chọn nhà thầu theo kế hoạch lựa chọn nhà thầu đã được duyệt theo một trong các hình thức: đấu thầu rộng rãi hoặc đấu thầu hạn chế hoặc chào hàng cạnh tranh hoặc mua sắm trực tiếp hoặc lựa chọn nhà thầu trong trường</w:t>
      </w:r>
      <w:r>
        <w:rPr>
          <w:rFonts w:ascii="Times New Roman" w:eastAsia="Times New Roman" w:hAnsi="Times New Roman" w:cs="Times New Roman"/>
          <w:sz w:val="26"/>
        </w:rPr>
        <w:t xml:space="preserve"> hợp đặc biệt nhưng chưa lựa chọn được nhà thầu hoặc chào giá trực tuyến hoặc mua sắm trực tuyến và đã thực hiện chỉ định thầu rút gọn theo quy định của pháp luật về đấu thầu nhưng không lựa chọn được nhà thầu. + Cơ sở khám bệnh, chữa bệnh đã ký hợp đồng với nhà thầu cung ứng thuốc, thiết bị y tế đó nhưng tại thời điểm chỉ định thuốc, thiết bị y tế cho người bệnh có bằng chứng bằng văn bản xác nhận nhà thầu không cung ứng được thuốc (văn bản cung ứng thuốc từ nhà cung cấp, phụ lục hợp đồng, biên bản xác nhậ</w:t>
      </w:r>
      <w:r>
        <w:rPr>
          <w:rFonts w:ascii="Times New Roman" w:eastAsia="Times New Roman" w:hAnsi="Times New Roman" w:cs="Times New Roman"/>
          <w:sz w:val="26"/>
        </w:rPr>
        <w:t>n nhà thầu không cung cấp thuốc). - Cơ quan bảo hiểm xã hội có trách nhiệm công bố số lượng thuốc, thiết bị y tế chưa sử dụng hết theo kết quả trúng thầu của các cơ sở khám bệnh, chữa bệnh bảo hiểm y tế trên Cổng tiếp nhận dữ liệu của Bảo hiểm xã hội Việt Nam để cơ sở khám bệnh, chữa bệnh tham khảo đề nghị điều chuyển thuốc, thiết bị y tế. - Trường hợp người bệnh bảo hiểm y tế không đồng ý thanh toán các chi phí ngoài phạm vi được hưởng và mức hưởng của người tham gia bảo hiểm y tế khi điều chuyển thuốc, th</w:t>
      </w:r>
      <w:r>
        <w:rPr>
          <w:rFonts w:ascii="Times New Roman" w:eastAsia="Times New Roman" w:hAnsi="Times New Roman" w:cs="Times New Roman"/>
          <w:sz w:val="26"/>
        </w:rPr>
        <w:t>iết bị y tế thì cơ sở khám bệnh, chữa bệnh chuyển người bệnh tới cơ sở khám bệnh, chữa bệnh khác bảo đảm cung ứng thuốc, thiết bị y tế để điều trị cho người bệnh. d) Trường hợp chuyển người bệnh hoặc mẫu bệnh phẩm đến cơ sở khác đủ điều kiện để thực hiện dịch vụ cận lâm sàng - Dịch vụ cận lâm sàng chưa được cơ quan nhà nước có thẩm quyền phê duyệt cho cơ sở khám bệnh, chữa bệnh nhưng thực tế cần thiết cho các hoạt động chuyên môn và có trong danh mục được Bộ trưởng Bộ Y tế ban hành. Người đứng đầu cơ sở khá</w:t>
      </w:r>
      <w:r>
        <w:rPr>
          <w:rFonts w:ascii="Times New Roman" w:eastAsia="Times New Roman" w:hAnsi="Times New Roman" w:cs="Times New Roman"/>
          <w:sz w:val="26"/>
        </w:rPr>
        <w:t>m bệnh, chữa bệnh bảo hiểm y tế nơi chuyển người bệnh hoặc mẫu bệnh phẩm căn cứ chức năng, nhiệm vụ, phạm vi hoạt động chuyên môn được cấp có thẩm quyền phê duyệt để lập danh sách các dịch vụ cận lâm sàng cần chuyển và ký hợp đồng nguyên tắc với cơ sở thực hiện dịch vụ cận lâm sàng. Trong hợp đồng nguyên tắc có nội dung thống nhất việc cơ quan bảo hiểm xã hội nơi ký hợp đồng khám bệnh, chữa bệnh bảo hiểm y tế với cơ sở khám bệnh, chữa bệnh nơi chuyển đi giám định về dịch vụ cận lâm sàng đã tiếp nhận và thực</w:t>
      </w:r>
      <w:r>
        <w:rPr>
          <w:rFonts w:ascii="Times New Roman" w:eastAsia="Times New Roman" w:hAnsi="Times New Roman" w:cs="Times New Roman"/>
          <w:sz w:val="26"/>
        </w:rPr>
        <w:t xml:space="preserve"> hiện tại cơ sở thực hiện dịch vụ cận lâm sàng. Cơ sở khám bệnh, chữa bệnh bảo hiểm y tế nơi chuyển người bệnh hoặc mẫu bệnh phẩm gửi danh sách các dịch vụ cận lâm sàng cần chuyển và hợp đồng nguyên tắc đến cơ quan bảo hiểm xã hội nơi ký hợp đồng khám bệnh, chữa bệnh bảo hiểm y tế trước khi thực hiện. - Cơ sở tiếp nhận thực hiện dịch vụ cận lâm sàng không được thu thêm chi phí về khám bệnh của người bệnh. Trường hợp người bệnh phải trả thêm chi phí thực hiện dịch vụ cận lâm sàng ngoài chi phí cùng chi trả t</w:t>
      </w:r>
      <w:r>
        <w:rPr>
          <w:rFonts w:ascii="Times New Roman" w:eastAsia="Times New Roman" w:hAnsi="Times New Roman" w:cs="Times New Roman"/>
          <w:sz w:val="26"/>
        </w:rPr>
        <w:t>heo quy định, cơ sở khám bệnh, chữa bệnh nơi chuyển người bệnh hoặc mẫu bệnh phẩm cần thông báo và có sự đồng ý của người bệnh trước khi chuyển người bệnh hoặc mẫu bệnh phẩm. đ) Thanh toán chi phí khám bệnh, chữa bệnh đối với một số trường hợp - Đối với trẻ em dưới 6 tuổi: Cơ sở khám bệnh, chữa bệnh sử dụng chức năng tra cứu thông tin mã thẻ bảo hiểm y tế tạm thời trên Cổng tiếp nhận dữ liệu của Bảo hiểm xã hội Việt Nam để lấy thông tin mã thẻ bảo hiểm y tế tạm thời; Trường hợp người bệnh chưa được cấp mã t</w:t>
      </w:r>
      <w:r>
        <w:rPr>
          <w:rFonts w:ascii="Times New Roman" w:eastAsia="Times New Roman" w:hAnsi="Times New Roman" w:cs="Times New Roman"/>
          <w:sz w:val="26"/>
        </w:rPr>
        <w:t>hẻ tạm thì cơ sở khám bệnh, chữa bệnh nhập đầy đủ thông tin trên Cổng tiếp nhận dữ liệu của Bảo hiểm xã hội Việt Nam để Cổng cấp tự động mã thẻ tạm. - Cơ quan bảo hiểm xã hội có trách nhiệm kiểm tra thông tin mã thẻ bảo hiểm y tế tạm thời; thực hiện thanh toán chi phí khám bệnh, chữa bệnh theo quy định. - Trường hợp chuyển cơ sở khám bệnh, chữa bệnh đối với người bệnh cần phải có nhân viên y tế đi kèm và có sử dụng thuốc, thiết bị y tế theo yêu cầu chuyên môn trong quá trình vận chuyển thì chi phí thuốc, th</w:t>
      </w:r>
      <w:r>
        <w:rPr>
          <w:rFonts w:ascii="Times New Roman" w:eastAsia="Times New Roman" w:hAnsi="Times New Roman" w:cs="Times New Roman"/>
          <w:sz w:val="26"/>
        </w:rPr>
        <w:t xml:space="preserve">iết bị y tế được tổng hợp vào chi phí điều trị của cơ sở khám bệnh, chữa bệnh chỉ định chuyển người bệnh đi. - Trường hợp người bệnh sau khi đã điều trị nội trú ổn định nhưng cần phải tiếp tục sử dụng thuốc sau khi ra viện theo chỉ định của cơ sở khám bệnh, chữa bệnh, quỹ bảo hiểm y tế thanh toán chi phí thuốc trong phạm vi được hưởng và mức hưởng theo quy định của Bộ trưởng Bộ Y tế. Cơ sở khám bệnh, chữa bệnh tổng hợp khoản chi thuốc này vào chi phí khám bệnh, chữa bệnh của người bệnh trước khi ra viện. - </w:t>
      </w:r>
      <w:r>
        <w:rPr>
          <w:rFonts w:ascii="Times New Roman" w:eastAsia="Times New Roman" w:hAnsi="Times New Roman" w:cs="Times New Roman"/>
          <w:sz w:val="26"/>
        </w:rPr>
        <w:t>Trường hợp khi đến khám bệnh, chữa bệnh thẻ bảo hiểm y tế của người bệnh còn giá trị sử dụng nhưng khi đang điều trị nội trú hoặc đang điều trị ban ngày hoặc đang điều trị ngoại trú tại cơ sở khám bệnh, chữa bệnh mà thẻ bảo hiểm y tế hết hạn sử dụng thì được quỹ bảo hiểm y tế thanh toán chi phí khám bệnh, chữa bệnh trong phạm vi được hưởng và mức hưởng cho đến khi ra viện tối đa 15 ngày kể từ ngày thẻ bảo hiểm y tế hết hạn sử dụng. Khi ra viện, kết thúc lượt khám bệnh, chữa bệnh, người bệnh có trách nhiệm đ</w:t>
      </w:r>
      <w:r>
        <w:rPr>
          <w:rFonts w:ascii="Times New Roman" w:eastAsia="Times New Roman" w:hAnsi="Times New Roman" w:cs="Times New Roman"/>
          <w:sz w:val="26"/>
        </w:rPr>
        <w:t>óng bảo hiểm y tế nối tiếp với thời hạn của thẻ bảo hiểm y tế đã hết hạn. - Các khoản chi phí khám bệnh, chữa bệnh đối với trường hợp người tham gia bảo hiểm y tế đến khám bệnh, chữa bệnh trước ngày 01 tháng 01 và kết thúc lượt khám bệnh, chữa bệnh, ra viện kể từ ngày 01 tháng 01 năm sau thì thực hiện như sau: + Trường hợp cơ sở khám bệnh, chữa bệnh tiếp tục ký hợp đồng khám bệnh, chữa bệnh bảo hiểm y tế thì tính vào chi phí khám bệnh, chữa bệnh năm sau; + Trường hợp cơ sở khám bệnh, chữa bệnh không tiếp tụ</w:t>
      </w:r>
      <w:r>
        <w:rPr>
          <w:rFonts w:ascii="Times New Roman" w:eastAsia="Times New Roman" w:hAnsi="Times New Roman" w:cs="Times New Roman"/>
          <w:sz w:val="26"/>
        </w:rPr>
        <w:t xml:space="preserve">c ký hợp đồng khám bệnh, chữa bệnh bảo hiểm y tế thì tính vào chi phí khám bệnh, chữa bệnh năm trước. - Trường hợp người bệnh có thẻ bảo hiểm y tế khi đi khám bệnh, chữa bệnh mà xuất trình thông tin thẻ muộn thì được quỹ bảo hiểm y tế thanh toán chi phí khám bệnh, chữa bệnh trong phạm vi quyền lợi và mức hưởng kể từ thời điểm xuất trình thông tin thẻ bảo hiểm y tế. Chi phí khám bệnh, chữa bệnh trong thời gian người bệnh chưa xuất trình thông tin thẻ bảo hiểm y tế được quỹ bảo hiểm y tế thanh toán trực tiếp </w:t>
      </w:r>
      <w:r>
        <w:rPr>
          <w:rFonts w:ascii="Times New Roman" w:eastAsia="Times New Roman" w:hAnsi="Times New Roman" w:cs="Times New Roman"/>
          <w:sz w:val="26"/>
        </w:rPr>
        <w:t>theo thủ tục quy định. e) Trường hợp tổ chức khám bệnh, chữa bệnh bảo hiểm y tế ngoài giờ hành chính hoặc vào ngày nghỉ, ngày lễ - Cơ sở khám bệnh, chữa bệnh có trách nhiệm bảo đảm về nhân lực, điều kiện chuyên môn, công khai những khoản chi phí mà người bệnh phải chi trả ngoài phạm vi được hưởng và mức hưởng bảo hiểm y tế và phải thông báo trước cho người bệnh.</w:t>
      </w:r>
    </w:p>
    <w:p w14:paraId="0AB677C8" w14:textId="77777777" w:rsidR="00ED4894" w:rsidRDefault="00846D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51DE350" w14:textId="77777777" w:rsidR="00ED4894" w:rsidRDefault="00846D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https://thutuc.dichvucong.gov.vn/p/home/dvc-tthc-thu-tuc-hanh-chinh-chi-tiet.html?ma_thu_tuc=407224</w:t>
      </w:r>
    </w:p>
    <w:sectPr w:rsidR="00ED489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4894"/>
    <w:rsid w:val="008363DC"/>
    <w:rsid w:val="00846D13"/>
    <w:rsid w:val="00ED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C7A3"/>
  <w15:docId w15:val="{F00FF218-CE62-49E5-A058-8573966D4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2935</Words>
  <Characters>16730</Characters>
  <Application>Microsoft Office Word</Application>
  <DocSecurity>0</DocSecurity>
  <Lines>139</Lines>
  <Paragraphs>39</Paragraphs>
  <ScaleCrop>false</ScaleCrop>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