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b w:val="1"/>
          <w:bCs w:val="1"/>
        </w:rPr>
        <w:t xml:space="preserve">DANH SÁCH THÀNH VIÊN</w:t>
      </w:r>
    </w:p>
    <w:p>
      <w:pPr>
        <w:jc w:val="center"/>
        <w:spacing w:after="0"/>
      </w:pPr>
      <w:r>
        <w:rPr>
          <w:b w:val="1"/>
          <w:bCs w:val="1"/>
        </w:rPr>
        <w:t xml:space="preserve">THAM GIA CÔNG TÁC KIỂM ĐỊNH</w:t>
      </w:r>
    </w:p>
    <w:p>
      <w:pPr>
        <w:jc w:val="center"/>
        <w:spacing w:after="0"/>
      </w:pPr>
      <w:r>
        <w:rPr>
          <w:b w:val="1"/>
          <w:bCs w:val="1"/>
        </w:rPr>
        <w:t xml:space="preserve">Trường Tiểu học 1</w:t>
      </w:r>
    </w:p>
    <w:p>
      <w:pPr>
        <w:jc w:val="center"/>
        <w:spacing w:after="0"/>
      </w:pPr>
      <w:r>
        <w:rPr>
          <w:b w:val="1"/>
          <w:bCs w:val="1"/>
        </w:rPr>
        <w:t xml:space="preserve">Kèm theo Quyết định số: ...../QĐ-PGDĐT ngày .../.../.... của Phòng Giáo dục và Đào tạo</w:t>
      </w:r>
    </w:p>
    <w:tbl>
      <w:tblGrid>
        <w:gridCol w:w="2000" w:type="dxa"/>
        <w:gridCol w:w="2000" w:type="dxa"/>
        <w:gridCol w:w="2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tên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Phân công phụ trách các tiêu chuẩn, tiêu chí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Nguyễn 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I. TỰ ĐÁNH GIÁ TIÊU CHÍ MỨC 1,2 VÀ 3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1: Tổ chức và quản lý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1.1: Phương hướng, chiến lược xây dựng và phát triển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1.2: Hội đồng trường (Hội đồng quản trị đối với trường tư thục) và các hội đồng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1.3: Tổ chức Đảng Cộng sản Việt Nam, các đoàn thể và tổ chức khác trong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1.4: Hiệu trưởng, phó hiệu trưởng, tổ chuyên môn và tổ văn phòng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1.5: Khối lớp và tổ chức lớp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1.6: Quản lý hành chính, tài chính và tài sản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1.7: Quản lý cán bộ, giáo viên và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1.8: Quản lý các hoạt động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1.9: Thực hiện quy chế dân chủ cơ sở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1.10: Đảm bảo an ninh trật tự, an toàn trường học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1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2: Cán bộ quản lý, giáo viên, nhân viên và học sinh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2.1: Đối với hiệu trưởng, phó hiệu trưởng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2.2: Đối với giáo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2.3: Đối với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2.4: Đối với học sinh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2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3: Cơ sở vật chất và thiết bị dạy học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3.1: Khuôn viên, khu sân chơi, sân tập</w:t>
            </w:r>
          </w:p>
          <w:p>
            <w:pPr>
              <w:ind w:left="288" w:right="0"/>
              <w:spacing w:after="0"/>
            </w:pPr>
            <w:r>
              <w:rPr/>
              <w:t xml:space="preserve">Tiêu chí 3.2: Phòng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3.3: Khối phòng phục vụ học tập và khối phòng hành chính - quản trị</w:t>
            </w:r>
          </w:p>
          <w:p>
            <w:pPr>
              <w:ind w:left="288" w:right="0"/>
              <w:spacing w:after="0"/>
            </w:pPr>
            <w:r>
              <w:rPr/>
              <w:t xml:space="preserve">Tiêu chí 3.4: Khu vệ sinh, hệ thống cấp thoát nước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3.5: Thiết bị</w:t>
            </w:r>
          </w:p>
          <w:p>
            <w:pPr>
              <w:ind w:left="288" w:right="0"/>
              <w:spacing w:after="0"/>
            </w:pPr>
            <w:r>
              <w:rPr/>
              <w:t xml:space="preserve">Tiêu chí 3.6: Thư viện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3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4: Quan hệ giữa nhà trường, gia đình và xã hội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4.1: Ban đại diện cha mẹ học sinh</w:t>
            </w:r>
          </w:p>
          <w:p>
            <w:pPr>
              <w:ind w:left="288" w:right="0"/>
              <w:spacing w:after="0"/>
            </w:pPr>
            <w:r>
              <w:rPr/>
              <w:t xml:space="preserve">Tiêu chí 4.2: Công tác tham mưu cấp uỷ Đảng, chính quyền và phối hợp với các tổ chức, cá nhân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4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5: Hoạt động giáo dục và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5.1: Kế hoạch giáo dục của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5.2: Thực hiện Chương trình giáo dục phổ thông cấp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5.3: Thực hiện các hoạt động giáo dục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5.4: Công tác phổ cập giáo dục tiểu học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5.5: Kết quả giáo dục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5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2020-11-07T01:17:51+00:00</dcterms:created>
  <dcterms:modified xsi:type="dcterms:W3CDTF">2020-11-07T01:17:51+00:00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