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2: Cán bộ quản lý, giáo viên, nhân viên và học sinh</w:t>
      </w:r>
    </w:p>
    <w:p>
      <w:pPr/>
      <w:r>
        <w:rPr/>
        <w:t xml:space="preserve">Tiêu chí 2.3: Đối với nhân viên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Có nhân viên hoặc giáo viên kiêm nhiệm để đảm nhiệm các nhiệm vụ do hiệu trưởng phân công;</w:t>
      </w:r>
    </w:p>
    <w:p>
      <w:pPr>
        <w:ind w:left="0" w:right="0" w:hanging="-360"/>
      </w:pPr>
      <w:r>
        <w:rPr>
          <w:i w:val="1"/>
          <w:iCs w:val="1"/>
        </w:rPr>
        <w:t xml:space="preserve">b) Được phân công công việc phù hợp, hợp lý theo năng lực;</w:t>
      </w:r>
    </w:p>
    <w:p>
      <w:pPr>
        <w:ind w:left="0" w:right="0" w:hanging="-360"/>
      </w:pPr>
      <w:r>
        <w:rPr>
          <w:i w:val="1"/>
          <w:iCs w:val="1"/>
        </w:rPr>
        <w:t xml:space="preserve">c) Hoàn thành các nhiệm vụ được giao.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Số lượng và cơ cấu nhân viên đảm bảo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Trong 05 năm liên tiếp tính đến thời điểm đánh giá, không có nhân viên bị kỷ luật từ hình thức cảnh cáo trở lên.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a) Có trình độ đào tạo đáp ứng được vị trí việc làm;</w:t>
      </w:r>
    </w:p>
    <w:p>
      <w:pPr>
        <w:ind w:left="0" w:right="0" w:hanging="-360"/>
      </w:pPr>
      <w:r>
        <w:rPr>
          <w:i w:val="1"/>
          <w:iCs w:val="1"/>
        </w:rPr>
        <w:t xml:space="preserve">b) Hằng năm, được tham gia đầy đủ các khóa, lớp tập huấn, bồi dưỡng chuyên môn, nghiệp vụ theo vị trí việc làm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2020-10-21T06:52:02+00:00</dcterms:created>
  <dcterms:modified xsi:type="dcterms:W3CDTF">2020-10-21T06:52:02+00:00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