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r>
        <w:rPr/>
        <w:t xml:space="preserve">Lê Thị Thu Hánh, </w:t>
      </w:r>
    </w:p>
    <w:p>
      <w:pPr>
        <w:jc w:val="center"/>
      </w:pPr>
      <w:r>
        <w:rPr>
          <w:b w:val="1"/>
          <w:bCs w:val="1"/>
        </w:rPr>
        <w:t xml:space="preserve">PHIẾU ĐÁNH GIÁ TIÊU CHÍ</w:t>
      </w:r>
    </w:p>
    <w:p>
      <w:pPr/>
      <w:r>
        <w:rPr/>
        <w:t xml:space="preserve">Tiêu chuẩn 1: Tổ chức và quản lý nhà trường</w:t>
      </w:r>
    </w:p>
    <w:p>
      <w:pPr/>
      <w:r>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2020-10-21T03:47:33+00:00</dcterms:created>
  <dcterms:modified xsi:type="dcterms:W3CDTF">2020-10-21T03:47:33+00:00</dcterms:modified>
</cp:coreProperties>
</file>

<file path=docProps/custom.xml><?xml version="1.0" encoding="utf-8"?>
<Properties xmlns="http://schemas.openxmlformats.org/officeDocument/2006/custom-properties" xmlns:vt="http://schemas.openxmlformats.org/officeDocument/2006/docPropsVTypes"/>
</file>