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Nguyễn A,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1.4: Hiệu trưởng, phó hiệu trưởng, tổ chuyên môn và tổ văn phòng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Có hiệu trưởng, số lượng phó hiệu trưởng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và tổ văn phòng có cơ cấu tổ chức theo quy định</w:t>
      </w:r>
    </w:p>
    <w:p>
      <w:pPr>
        <w:ind w:left="0" w:right="0" w:hanging="-360"/>
      </w:pPr>
      <w:r>
        <w:rPr>
          <w:i w:val="1"/>
          <w:iCs w:val="1"/>
        </w:rPr>
        <w:t xml:space="preserve">c) Tổ chuyên môn, tổ văn phòng có kế hoạch hoạt động và thực hiện các nhiệm vụ theo quy định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Hằng năm, tổ chuyên môn đề xuất và thực hiện được ít nhất 01 (một) chuyên đề chuyên môn có tác dụng nâng cao chất lượng hiệu quả giáo dục;</w:t>
      </w:r>
    </w:p>
    <w:p>
      <w:pPr>
        <w:ind w:left="0" w:right="0" w:hanging="-360"/>
      </w:pPr>
      <w:r>
        <w:rPr>
          <w:i w:val="1"/>
          <w:iCs w:val="1"/>
        </w:rPr>
        <w:t xml:space="preserve">b) Hoạt động của tổ chuyên môn, tổ văn phòng được định kỳ rà soát, đánh giá, điều chỉnh.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a) Hoạt động của tổ chuyên môn, tổ văn phòng, có đóng góp hiệu quả trong việc nâng cao chất lượng các hoạt động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thực hiện hiệu quả các chuyên đề chuyên môn góp phần nâng cao chất lượng giáo dục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2020-11-05T14:40:09+00:00</dcterms:created>
  <dcterms:modified xsi:type="dcterms:W3CDTF">2020-11-05T14:40:09+00:00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