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Lê Thị Thu Hánh,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1.8: Quản lý các hoạt động giáo dục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Kế hoạch giáo dục phù hợp với quy định hiện hành, điều kiện thực tế địa phương và điều kiện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Kế hoạch giáo dục được thực hiện đầy đủ;</w:t>
      </w:r>
    </w:p>
    <w:p>
      <w:pPr>
        <w:ind w:left="0" w:right="0" w:hanging="-360"/>
      </w:pPr>
      <w:r>
        <w:rPr>
          <w:i w:val="1"/>
          <w:iCs w:val="1"/>
        </w:rPr>
        <w:t xml:space="preserve">c) Kế hoạch giáo dục được rà soát, đánh giá, điều chỉnh kịp thời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Các biện pháp chỉ đạo, kiểm tra, đánh giá của nhà trường đối với các hoạt động giáo dục, được cơ quan quản lý đánh giá hiệu quả.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2020-10-21T03:47:28+00:00</dcterms:created>
  <dcterms:modified xsi:type="dcterms:W3CDTF">2020-10-21T03:47:28+00:00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