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1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3: Cơ sở vật chất và thiết bị dạy học</w:t>
      </w:r>
    </w:p>
    <w:p>
      <w:pPr/>
      <w:r>
        <w:rPr/>
        <w:t xml:space="preserve">Tiêu chí 3.4: Khu vệ sinh, hệ thống cấp thoát nước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Khu vệ sinh riêng cho nam, nữ, giáo viên, nhân viên, học sinh đảm bảo không ô nhiễm môi trường; khu vệ sinh đảm bảo sử dụng thuận lợi cho học sinh khuyết tật học hòa nhập;</w:t>
      </w:r>
    </w:p>
    <w:p>
      <w:pPr>
        <w:ind w:left="0" w:right="0" w:hanging="-360"/>
      </w:pPr>
      <w:r>
        <w:rPr>
          <w:i w:val="1"/>
          <w:iCs w:val="1"/>
        </w:rPr>
        <w:t xml:space="preserve">b) Hệ thống thoát nước đảm bảo vệ sinh môi trường; hệ thống cấp nước sạch đảm bảo nước uống và nước sinh hoạt cho giáo viên, nhân viên và học sinh;</w:t>
      </w:r>
    </w:p>
    <w:p>
      <w:pPr>
        <w:ind w:left="0" w:right="0" w:hanging="-360"/>
      </w:pPr>
      <w:r>
        <w:rPr>
          <w:i w:val="1"/>
          <w:iCs w:val="1"/>
        </w:rPr>
        <w:t xml:space="preserve">c) Thu gom rác và xử lý chất thải đảm bảo vệ sinh môi trường.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Khu vệ sinh đảm bảo thuận tiện, được xây dựng phù hợp với cảnh quan và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Hệ thống cấp nước sạch, hệ thống thoát nước, thu gom và xử lý chất thải đáp ứng quy định của Bộ Giáo dục và Đào tạo và Bộ Y tế.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2020-10-21T03:42:54+00:00</dcterms:created>
  <dcterms:modified xsi:type="dcterms:W3CDTF">2020-10-21T03:42:54+00:00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