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2</w:t>
      </w:r>
    </w:p>
    <w:p>
      <w:pPr>
        <w:jc w:val="center"/>
      </w:pPr>
      <w:r>
        <w:rPr>
          <w:b w:val="1"/>
          <w:bCs w:val="1"/>
        </w:rPr>
        <w:t xml:space="preserve">Phiếu xác định nội hàm, phân tích tiêu chí tìm minh chứng tiêu chí</w:t>
      </w:r>
    </w:p>
    <w:p>
      <w:pPr>
        <w:jc w:val="center"/>
      </w:pPr>
      <w:r>
        <w:rPr>
          <w:b w:val="1"/>
          <w:bCs w:val="1"/>
        </w:rPr>
        <w:t xml:space="preserve">thuộc Mức 1,2 và 3</w:t>
      </w:r>
    </w:p>
    <w:p>
      <w:pPr/>
      <w:r>
        <w:rPr>
          <w:b w:val="1"/>
          <w:bCs w:val="1"/>
        </w:rPr>
        <w:t xml:space="preserve">Nhóm, cá nhân: </w:t>
      </w:r>
    </w:p>
    <w:p>
      <w:pPr/>
      <w:r>
        <w:rPr/>
        <w:t xml:space="preserve">Tiêu chuẩn 1: Tổ chức và quản lý nhà trường</w:t>
      </w:r>
    </w:p>
    <w:p>
      <w:pPr/>
      <w:r>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nuôi dưỡng, chăm sóc và giáo dục trẻ của nhà trường. </w:t>
      </w:r>
    </w:p>
    <w:tbl>
      <w:tblGrid>
        <w:gridCol w:w="1000" w:type="dxa"/>
        <w:gridCol w:w="2500" w:type="dxa"/>
        <w:gridCol w:w="2500" w:type="dxa"/>
        <w:gridCol w:w="2000" w:type="dxa"/>
        <w:gridCol w:w="1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pPr>
            <w:r>
              <w:rPr>
                <w:b w:val="1"/>
                <w:bCs w:val="1"/>
              </w:rPr>
              <w:t xml:space="preserve">Mức/Chỉ báo</w:t>
            </w:r>
          </w:p>
        </w:tc>
        <w:tc>
          <w:tcPr>
            <w:tcW w:w="2500" w:type="dxa"/>
            <w:vAlign w:val="center"/>
            <w:vMerge w:val="restart"/>
          </w:tcPr>
          <w:p>
            <w:pPr>
              <w:jc w:val="center"/>
            </w:pPr>
            <w:r>
              <w:rPr>
                <w:b w:val="1"/>
                <w:bCs w:val="1"/>
              </w:rPr>
              <w:t xml:space="preserve">Nội hàm</w:t>
            </w:r>
          </w:p>
        </w:tc>
        <w:tc>
          <w:tcPr>
            <w:tcW w:w="2500" w:type="dxa"/>
            <w:vAlign w:val="center"/>
            <w:vMerge w:val="restart"/>
          </w:tcPr>
          <w:p>
            <w:pPr>
              <w:jc w:val="center"/>
            </w:pPr>
            <w:r>
              <w:rPr>
                <w:b w:val="1"/>
                <w:bCs w:val="1"/>
              </w:rPr>
              <w:t xml:space="preserve">Các câu hỏi đặt ra (ứng với mỗi nội hàm)</w:t>
            </w:r>
          </w:p>
        </w:tc>
        <w:tc>
          <w:tcPr>
            <w:tcW w:w="3000" w:type="dxa"/>
            <w:vAlign w:val="center"/>
            <w:gridSpan w:val="2"/>
          </w:tcPr>
          <w:p>
            <w:pPr>
              <w:jc w:val="center"/>
            </w:pPr>
            <w:r>
              <w:rPr>
                <w:b w:val="1"/>
                <w:bCs w:val="1"/>
              </w:rPr>
              <w:t xml:space="preserve">Minh chứng</w:t>
            </w:r>
          </w:p>
        </w:tc>
        <w:tc>
          <w:tcPr>
            <w:tcW w:w="1000" w:type="dxa"/>
            <w:vAlign w:val="center"/>
            <w:vMerge w:val="restart"/>
          </w:tcPr>
          <w:p>
            <w:pPr>
              <w:jc w:val="center"/>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Mức/Chỉ báo</w:t>
            </w:r>
          </w:p>
        </w:tc>
        <w:tc>
          <w:tcPr>
            <w:tcW w:w="2500" w:type="dxa"/>
            <w:vAlign w:val="center"/>
            <w:vMerge w:val="continue"/>
          </w:tcPr>
          <w:p>
            <w:pPr>
              <w:jc w:val="center"/>
            </w:pPr>
            <w:r>
              <w:rPr>
                <w:b w:val="1"/>
                <w:bCs w:val="1"/>
              </w:rPr>
              <w:t xml:space="preserve">Nội hàm</w:t>
            </w:r>
          </w:p>
        </w:tc>
        <w:tc>
          <w:tcPr>
            <w:tcW w:w="2500" w:type="dxa"/>
            <w:vAlign w:val="center"/>
            <w:vMerge w:val="continue"/>
          </w:tcPr>
          <w:p>
            <w:pPr>
              <w:jc w:val="center"/>
            </w:pPr>
            <w:r>
              <w:rPr>
                <w:b w:val="1"/>
                <w:bCs w:val="1"/>
              </w:rPr>
              <w:t xml:space="preserve">Các câu hỏi đặt ra (ứng với mỗi nội hàm)</w:t>
            </w:r>
          </w:p>
        </w:tc>
        <w:tc>
          <w:tcPr>
            <w:tcW w:w="2000" w:type="dxa"/>
            <w:vAlign w:val="center"/>
          </w:tcPr>
          <w:p>
            <w:pPr>
              <w:jc w:val="center"/>
            </w:pPr>
            <w:r>
              <w:rPr>
                <w:b w:val="1"/>
                <w:bCs w:val="1"/>
              </w:rPr>
              <w:t xml:space="preserve">Cần thu thập</w:t>
            </w:r>
          </w:p>
        </w:tc>
        <w:tc>
          <w:tcPr>
            <w:tcW w:w="10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Ghi chú</w:t>
            </w:r>
          </w:p>
        </w:tc>
      </w:tr>
      <w:tr>
        <w:trPr>
          <w:trHeight w:val="400" w:hRule="atLeast"/>
        </w:trPr>
        <w:tc>
          <w:tcPr>
            <w:tcW w:w="1000" w:type="dxa"/>
            <w:vAlign w:val="center"/>
          </w:tcPr>
          <w:p>
            <w:pPr>
              <w:ind w:left="72" w:right="0"/>
              <w:spacing w:after="0"/>
            </w:pPr>
            <w:r>
              <w:rPr/>
              <w:t xml:space="preserve">Mức 1</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Hội đồng trường đối với trường công lập; hội đồng quản trị đối với trường dân lập; tư thục; Hội đồng thi đua khen thưởng và các hội đồng khác.</w:t>
            </w:r>
          </w:p>
        </w:tc>
        <w:tc>
          <w:tcPr>
            <w:tcW w:w="2500" w:type="dxa"/>
            <w:vAlign w:val="center"/>
          </w:tcPr>
          <w:p>
            <w:pPr/>
            <w:r>
              <w:rPr/>
              <w:t xml:space="preserve">Nhà trường đã thành lập những hội đồng nào?</w:t>
            </w:r>
          </w:p>
        </w:tc>
        <w:tc>
          <w:tcPr>
            <w:tcW w:w="2000" w:type="dxa"/>
            <w:vAlign w:val="center"/>
          </w:tcPr>
          <w:p>
            <w:pPr/>
            <w:r>
              <w:rPr/>
              <w:t xml:space="preserve">Quyết định Thành lập HĐ trường; HĐTĐKT</w:t>
            </w:r>
            <w:br/>
            <w:r>
              <w:rPr/>
              <w:t xml:space="preserve">Hội đồng sáng kiến kinh nghiệm,Hội đồng chấm thi giáo viên dạy giỏi, hội đồng thi đồ dùng đồ chơi tự tạo</w:t>
            </w:r>
          </w:p>
        </w:tc>
        <w:tc>
          <w:tcPr>
            <w:tcW w:w="1000" w:type="dxa"/>
            <w:vAlign w:val="center"/>
          </w:tcPr>
          <w:p>
            <w:pPr/>
            <w:r>
              <w:rPr/>
              <w:t xml:space="preserve">Hồ sơ lưu nhà trường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Các hội đồng Thực hiện các chức năng nhiệm vụ, và quyền hạn theo qui định tại điều 18, 19 điều lệ trường MN.</w:t>
            </w:r>
          </w:p>
        </w:tc>
        <w:tc>
          <w:tcPr>
            <w:tcW w:w="2500" w:type="dxa"/>
            <w:vAlign w:val="center"/>
          </w:tcPr>
          <w:p>
            <w:pPr/>
            <w:r>
              <w:rPr/>
              <w:t xml:space="preserve">- Các hội đồng thực hiện các chức năng nhiệm vụ và quyền hạn có theo qui định chưa?</w:t>
            </w:r>
          </w:p>
        </w:tc>
        <w:tc>
          <w:tcPr>
            <w:tcW w:w="2000" w:type="dxa"/>
            <w:vAlign w:val="center"/>
          </w:tcPr>
          <w:p>
            <w:pPr/>
            <w:r>
              <w:rPr/>
              <w:t xml:space="preserve">Kế hoạch hoạt động; Biên bản sinh hoạt, Phân công chức năng nhiệm vụ các thành viên trong hội đồng; NQ sinh hoạt của HĐTrường;</w:t>
            </w:r>
          </w:p>
        </w:tc>
        <w:tc>
          <w:tcPr>
            <w:tcW w:w="1000" w:type="dxa"/>
            <w:vAlign w:val="center"/>
          </w:tcPr>
          <w:p>
            <w:pPr/>
            <w:r>
              <w:rPr/>
              <w:t xml:space="preserve">Hồ sơ lưu nhà trường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c)</w:t>
            </w:r>
          </w:p>
        </w:tc>
        <w:tc>
          <w:tcPr>
            <w:tcW w:w="2500" w:type="dxa"/>
            <w:vAlign w:val="center"/>
          </w:tcPr>
          <w:p>
            <w:pPr/>
            <w:r>
              <w:rPr/>
              <w:t xml:space="preserve">Hoạt động của các hội đồng được định kỳ rà soát, đánh giá.</w:t>
            </w:r>
          </w:p>
        </w:tc>
        <w:tc>
          <w:tcPr>
            <w:tcW w:w="2500" w:type="dxa"/>
            <w:vAlign w:val="center"/>
          </w:tcPr>
          <w:p>
            <w:pPr/>
            <w:r>
              <w:rPr/>
              <w:t xml:space="preserve">- Hoạt động của các hội đồng? Hằng năm có rà soát, đánh giá như thế nào?</w:t>
            </w:r>
          </w:p>
        </w:tc>
        <w:tc>
          <w:tcPr>
            <w:tcW w:w="2000" w:type="dxa"/>
            <w:vAlign w:val="center"/>
          </w:tcPr>
          <w:p>
            <w:pPr/>
            <w:r>
              <w:rPr/>
              <w:t xml:space="preserve">Báo cáo sơ kết, tổng kết; Biên bản kiểm tra giám sát; Biên bản họp xét thi đua;</w:t>
            </w:r>
          </w:p>
        </w:tc>
        <w:tc>
          <w:tcPr>
            <w:tcW w:w="1000" w:type="dxa"/>
            <w:vAlign w:val="center"/>
          </w:tcPr>
          <w:p>
            <w:pPr/>
            <w:r>
              <w:rPr/>
              <w:t xml:space="preserve">Hồ sơ lưu nhà trường</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2</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
            </w:r>
          </w:p>
        </w:tc>
        <w:tc>
          <w:tcPr>
            <w:tcW w:w="2500" w:type="dxa"/>
            <w:vAlign w:val="center"/>
          </w:tcPr>
          <w:p>
            <w:pPr/>
            <w:r>
              <w:rPr/>
              <w:t xml:space="preserve">Hoạt động của các hội đồng đạt hiệu quả, góp phần nâng cao chất lượng nuôi dưỡng chăm sóc và giáo dục trẻ của nhà trường</w:t>
            </w:r>
          </w:p>
        </w:tc>
        <w:tc>
          <w:tcPr>
            <w:tcW w:w="2500" w:type="dxa"/>
            <w:vAlign w:val="center"/>
          </w:tcPr>
          <w:p>
            <w:pPr/>
            <w:r>
              <w:rPr/>
              <w:t xml:space="preserve">Các hội đồng có đóng góp trong công tác nâng cao chất lượng nuôi dưỡng chăm sóc và giáo dục trẻ của nhà trường không?</w:t>
            </w:r>
          </w:p>
        </w:tc>
        <w:tc>
          <w:tcPr>
            <w:tcW w:w="2000" w:type="dxa"/>
            <w:vAlign w:val="center"/>
          </w:tcPr>
          <w:p>
            <w:pPr/>
            <w:r>
              <w:rPr/>
              <w:t xml:space="preserve">Biên bản họp hội đồng; có ghi lại nội dung các cuộc họp của các hội đồng đánh giá về hiệu quả hoạt động của các hội đồng góp phần nâng cao chất lượng chăm sóc và giáo dục trẻ ; Báo cáo tổng kết năm học</w:t>
            </w:r>
          </w:p>
        </w:tc>
        <w:tc>
          <w:tcPr>
            <w:tcW w:w="1000" w:type="dxa"/>
            <w:vAlign w:val="center"/>
          </w:tcPr>
          <w:p>
            <w:pPr/>
            <w:r>
              <w:rPr/>
              <w:t xml:space="preserve">Văn bản đi đến của trường</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2020-11-05T14:20:52+00:00</dcterms:created>
  <dcterms:modified xsi:type="dcterms:W3CDTF">2020-11-05T14:20:52+00:00</dcterms:modified>
</cp:coreProperties>
</file>

<file path=docProps/custom.xml><?xml version="1.0" encoding="utf-8"?>
<Properties xmlns="http://schemas.openxmlformats.org/officeDocument/2006/custom-properties" xmlns:vt="http://schemas.openxmlformats.org/officeDocument/2006/docPropsVTypes"/>
</file>