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4EEC6C74" w:rsidR="00DE1E5E" w:rsidRPr="00F83AEC" w:rsidRDefault="000A0A2B" w:rsidP="006A3EF4">
      <w:pPr>
        <w:ind w:left="5040" w:firstLine="720"/>
        <w:rPr>
          <w:sz w:val="16"/>
          <w:szCs w:val="16"/>
        </w:rPr>
      </w:pPr>
      <w:r>
        <w:rPr>
          <w:sz w:val="16"/>
          <w:szCs w:val="16"/>
        </w:rPr>
        <w:t>17</w:t>
      </w:r>
      <w:bookmarkStart w:id="0" w:name="_GoBack"/>
      <w:bookmarkEnd w:id="0"/>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5C57BEDA"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w:t>
            </w:r>
            <w:r w:rsidR="000A0A2B">
              <w:t xml:space="preserve"> neighbor Randy,</w:t>
            </w:r>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 xml:space="preserve">heat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4028688"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0A0A2B"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If the volume goes up and down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0A0A2B">
          <w:rPr>
            <w:noProof/>
          </w:rPr>
          <w:t>1</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0A2B"/>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9</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86</cp:revision>
  <cp:lastPrinted>2015-09-14T05:29:00Z</cp:lastPrinted>
  <dcterms:created xsi:type="dcterms:W3CDTF">2015-06-14T04:56:00Z</dcterms:created>
  <dcterms:modified xsi:type="dcterms:W3CDTF">2015-09-18T03:58:00Z</dcterms:modified>
</cp:coreProperties>
</file>