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jc w:val="center"/>
      </w:pPr>
      <w:r>
        <w:rPr>
          <w:rFonts w:ascii="Aptos" w:hAnsi="Aptos"/>
          <w:b/>
          <w:color w:val="000000"/>
          <w:sz w:val="44"/>
        </w:rPr>
        <w:t>Thiết kế Microservice CAB System</w:t>
      </w:r>
    </w:p>
    <w:p>
      <w:pPr>
        <w:spacing w:after="320"/>
        <w:jc w:val="center"/>
      </w:pPr>
      <w:r>
        <w:rPr>
          <w:rFonts w:ascii="Aptos" w:hAnsi="Aptos"/>
          <w:b/>
          <w:color w:val="000000"/>
          <w:sz w:val="22"/>
        </w:rPr>
        <w:t>Tài liệu thiết kế đề xuất dựa trên SRS v1.4</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268"/>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Thuộc tính</w:t>
            </w:r>
          </w:p>
        </w:tc>
        <w:tc>
          <w:tcPr>
            <w:tcW w:type="dxa" w:w="7654"/>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Giá trị</w:t>
            </w:r>
          </w:p>
        </w:tc>
      </w:tr>
      <w:tr>
        <w:tc>
          <w:tcPr>
            <w:tcW w:type="dxa" w:w="226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Phiên bản</w:t>
            </w:r>
          </w:p>
        </w:tc>
        <w:tc>
          <w:tcPr>
            <w:tcW w:type="dxa" w:w="765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1.1</w:t>
            </w:r>
          </w:p>
        </w:tc>
      </w:tr>
      <w:tr>
        <w:tc>
          <w:tcPr>
            <w:tcW w:type="dxa" w:w="226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Baseline nghiệp vụ</w:t>
            </w:r>
          </w:p>
        </w:tc>
        <w:tc>
          <w:tcPr>
            <w:tcW w:type="dxa" w:w="765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SRS CAB System v1.4</w:t>
            </w:r>
          </w:p>
        </w:tc>
      </w:tr>
      <w:tr>
        <w:tc>
          <w:tcPr>
            <w:tcW w:type="dxa" w:w="226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Trạng thái</w:t>
            </w:r>
          </w:p>
        </w:tc>
        <w:tc>
          <w:tcPr>
            <w:tcW w:type="dxa" w:w="765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Dự thảo kiến trúc để review</w:t>
            </w:r>
          </w:p>
        </w:tc>
      </w:tr>
      <w:tr>
        <w:tc>
          <w:tcPr>
            <w:tcW w:type="dxa" w:w="226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Đối tượng đọc</w:t>
            </w:r>
          </w:p>
        </w:tc>
        <w:tc>
          <w:tcPr>
            <w:tcW w:type="dxa" w:w="765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Product Owner, Solution Architect, Development, QA, Operations</w:t>
            </w:r>
          </w:p>
        </w:tc>
      </w:tr>
    </w:tbl>
    <w:p>
      <w:pPr>
        <w:spacing w:after="20"/>
      </w:pPr>
    </w:p>
    <w:p>
      <w:pPr>
        <w:pStyle w:val="Heading1"/>
        <w:keepNext/>
        <w:spacing w:before="260" w:after="100"/>
      </w:pPr>
      <w:r>
        <w:rPr>
          <w:rFonts w:ascii="Aptos" w:hAnsi="Aptos"/>
          <w:b/>
          <w:color w:val="000000"/>
          <w:sz w:val="30"/>
        </w:rPr>
        <w:t>0. Mục đích, phạm vi và nguyên tắc</w:t>
      </w:r>
    </w:p>
    <w:p>
      <w:pPr>
        <w:spacing w:before="0" w:after="120" w:line="269" w:lineRule="auto"/>
      </w:pPr>
      <w:r>
        <w:rPr>
          <w:rFonts w:ascii="Aptos" w:hAnsi="Aptos"/>
          <w:b w:val="0"/>
          <w:color w:val="000000"/>
          <w:sz w:val="21"/>
        </w:rPr>
        <w:t>Tài liệu này mô tả thiết kế logic cho CAB System theo kiến trúc microservice. Mục tiêu là xác định ranh giới miền nghiệp vụ, quyền sở hữu dữ liệu, giao tiếp giữa các service và các điểm cần được quyết định trước khi triển khai.</w:t>
      </w:r>
    </w:p>
    <w:p>
      <w:pPr>
        <w:spacing w:before="0" w:after="120" w:line="269" w:lineRule="auto"/>
      </w:pPr>
      <w:r>
        <w:rPr>
          <w:rFonts w:ascii="Aptos" w:hAnsi="Aptos"/>
          <w:b w:val="0"/>
          <w:color w:val="000000"/>
          <w:sz w:val="21"/>
        </w:rPr>
        <w:t xml:space="preserve">SRS v1.4 là nguồn nghiệp vụ có thẩm quyền. Tên service, event, API nội bộ, kho dữ liệu, cơ chế giao tiếp và cách triển khai trong tài liệu này là </w:t>
      </w:r>
      <w:r>
        <w:rPr>
          <w:rFonts w:ascii="Aptos" w:hAnsi="Aptos"/>
          <w:b/>
          <w:color w:val="000000"/>
          <w:sz w:val="21"/>
        </w:rPr>
        <w:t>đề xuất kiến trúc</w:t>
      </w:r>
      <w:r>
        <w:rPr>
          <w:rFonts w:ascii="Aptos" w:hAnsi="Aptos"/>
          <w:b w:val="0"/>
          <w:color w:val="000000"/>
          <w:sz w:val="21"/>
        </w:rPr>
        <w:t>. Chúng không thay thế các quyết định nghiệp vụ còn mở trong SRS, đặc biệt OI-01 đến OI-21.</w:t>
      </w:r>
    </w:p>
    <w:p>
      <w:pPr>
        <w:spacing w:before="0" w:after="120" w:line="269" w:lineRule="auto"/>
      </w:pPr>
      <w:r>
        <w:rPr>
          <w:rFonts w:ascii="Aptos" w:hAnsi="Aptos"/>
          <w:b w:val="0"/>
          <w:color w:val="000000"/>
          <w:sz w:val="21"/>
        </w:rPr>
        <w:t>Mỗi service sở hữu dữ liệu của miền mình. Một service không ghi trực tiếp vào kho dữ liệu của service khác. Các service phối hợp bằng API đồng bộ hoặc domain event; việc chọn cơ chế cho từng luồng phải cân nhắc yêu cầu về độ trễ, tính nhất quán và độ tin cậy khi triển khai.</w:t>
      </w:r>
    </w:p>
    <w:p>
      <w:pPr>
        <w:pStyle w:val="Heading1"/>
        <w:keepNext/>
        <w:spacing w:before="260" w:after="100"/>
      </w:pPr>
      <w:r>
        <w:rPr>
          <w:rFonts w:ascii="Aptos" w:hAnsi="Aptos"/>
          <w:b/>
          <w:color w:val="000000"/>
          <w:sz w:val="30"/>
        </w:rPr>
        <w:t>1. Phân tách Use Case theo miền nghiệp vụ</w:t>
      </w:r>
    </w:p>
    <w:tbl>
      <w:tblPr>
        <w:tblW w:type="auto" w:w="0"/>
        <w:jc w:val="center"/>
        <w:tblLayout w:type="fixed"/>
        <w:tblLook w:firstColumn="1" w:firstRow="1" w:lastColumn="0" w:lastRow="0" w:noHBand="0" w:noVBand="1" w:val="04A0"/>
      </w:tblPr>
      <w:tblGrid>
        <w:gridCol w:w="2649"/>
        <w:gridCol w:w="2649"/>
        <w:gridCol w:w="2649"/>
        <w:gridCol w:w="2649"/>
      </w:tblGrid>
      <w:tr>
        <w:trPr>
          <w:tblHeader w:val="true"/>
        </w:trPr>
        <w:tc>
          <w:tcPr>
            <w:tcW w:type="dxa" w:w="1814"/>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Bounded Context</w:t>
            </w:r>
          </w:p>
        </w:tc>
        <w:tc>
          <w:tcPr>
            <w:tcW w:type="dxa" w:w="1757"/>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Use Case thuộc miền</w:t>
            </w:r>
          </w:p>
        </w:tc>
        <w:tc>
          <w:tcPr>
            <w:tcW w:type="dxa" w:w="3515"/>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Năng lực nghiệp vụ</w:t>
            </w:r>
          </w:p>
        </w:tc>
        <w:tc>
          <w:tcPr>
            <w:tcW w:type="dxa" w:w="2835"/>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Khái niệm chính</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Identity &amp; Access</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UC-01, UC-02</w:t>
            </w:r>
          </w:p>
        </w:tc>
        <w:tc>
          <w:tcPr>
            <w:tcW w:type="dxa" w:w="351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Đăng ký, đăng nhập, xác thực và kiểm soát truy cập.</w:t>
            </w:r>
          </w:p>
        </w:tc>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Account, Credential, Session, Access Policy</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Customer Profile</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UC-15</w:t>
            </w:r>
          </w:p>
        </w:tc>
        <w:tc>
          <w:tcPr>
            <w:tcW w:type="dxa" w:w="351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Quản lý thông tin Customer.</w:t>
            </w:r>
          </w:p>
        </w:tc>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Customer Profile</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Driver Management</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UC-03, UC-04, UC-16, UC-17</w:t>
            </w:r>
          </w:p>
        </w:tc>
        <w:tc>
          <w:tcPr>
            <w:tcW w:type="dxa" w:w="351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Thiết lập Driver, hồ sơ, phương tiện và trạng thái làm việc/sẵn sàng.</w:t>
            </w:r>
          </w:p>
        </w:tc>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Driver, Vehicle, Working Status, Availability</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Location</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UC-18</w:t>
            </w:r>
          </w:p>
        </w:tc>
        <w:tc>
          <w:tcPr>
            <w:tcW w:type="dxa" w:w="351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Tiếp nhận và lưu vị trí Driver để hỗ trợ điều phối và ETA.</w:t>
            </w:r>
          </w:p>
        </w:tc>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 Location, Location Observation</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Booking &amp; Dispatch</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UC-05, UC-06 và phần Booking của UC-07</w:t>
            </w:r>
          </w:p>
        </w:tc>
        <w:tc>
          <w:tcPr>
            <w:tcW w:type="dxa" w:w="351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Tiếp nhận Booking, tìm Driver, gửi đề nghị và ghi nhận phản hồi.</w:t>
            </w:r>
          </w:p>
        </w:tc>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Assignment, Dispatch Candidate</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Trip Management</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Phần Trip của UC-07, UC-08</w:t>
            </w:r>
          </w:p>
        </w:tc>
        <w:tc>
          <w:tcPr>
            <w:tcW w:type="dxa" w:w="351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Quản lý Trip sau khi Driver nhận chuyến và các mốc do Driver cập nhật.</w:t>
            </w:r>
          </w:p>
        </w:tc>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 Trip Milestone</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Fare &amp; Payment</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UC-09</w:t>
            </w:r>
          </w:p>
        </w:tc>
        <w:tc>
          <w:tcPr>
            <w:tcW w:type="dxa" w:w="351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Xác định cước, ghi nhận nghĩa vụ thanh toán và tích hợp thanh toán điện tử.</w:t>
            </w:r>
          </w:p>
        </w:tc>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Fare, Payment, Payment Attempt</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Notification</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Các mốc thông báo trong UC-05 đến UC-09</w:t>
            </w:r>
          </w:p>
        </w:tc>
        <w:tc>
          <w:tcPr>
            <w:tcW w:type="dxa" w:w="351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Gửi thông báo cho Customer và Driver theo sự kiện nghiệp vụ.</w:t>
            </w:r>
          </w:p>
        </w:tc>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Notification, Delivery Result</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History &amp; Rating</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UC-10, UC-11</w:t>
            </w:r>
          </w:p>
        </w:tc>
        <w:tc>
          <w:tcPr>
            <w:tcW w:type="dxa" w:w="351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Cung cấp lịch sử Trip cho Customer và tiếp nhận đánh giá Driver.</w:t>
            </w:r>
          </w:p>
        </w:tc>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Trip History, Rating</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Operations</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UC-12, UC-13</w:t>
            </w:r>
          </w:p>
        </w:tc>
        <w:tc>
          <w:tcPr>
            <w:tcW w:type="dxa" w:w="351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Hỗ trợ vận hành, tra cứu và thực hiện thao tác được cấp quyền.</w:t>
            </w:r>
          </w:p>
        </w:tc>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Operational Case, Transaction Lookup</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Reporting</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UC-14</w:t>
            </w:r>
          </w:p>
        </w:tc>
        <w:tc>
          <w:tcPr>
            <w:tcW w:type="dxa" w:w="351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Cung cấp các báo cáo hoạt động.</w:t>
            </w:r>
          </w:p>
        </w:tc>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Reporting Period, Metric View</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Audit</w:t>
            </w:r>
          </w:p>
        </w:tc>
        <w:tc>
          <w:tcPr>
            <w:tcW w:type="dxa" w:w="175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Xử lý nội bộ theo FR-58</w:t>
            </w:r>
          </w:p>
        </w:tc>
        <w:tc>
          <w:tcPr>
            <w:tcW w:type="dxa" w:w="351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Ghi nhận các thao tác quan trọng để phục vụ kiểm tra sự cố.</w:t>
            </w:r>
          </w:p>
        </w:tc>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Audit Entry, Correlation ID</w:t>
            </w:r>
          </w:p>
        </w:tc>
      </w:tr>
    </w:tbl>
    <w:p>
      <w:pPr>
        <w:spacing w:after="20"/>
      </w:pPr>
    </w:p>
    <w:p>
      <w:pPr>
        <w:pStyle w:val="Heading1"/>
        <w:keepNext/>
        <w:spacing w:before="260" w:after="100"/>
      </w:pPr>
      <w:r>
        <w:rPr>
          <w:rFonts w:ascii="Aptos" w:hAnsi="Aptos"/>
          <w:b/>
          <w:color w:val="000000"/>
          <w:sz w:val="30"/>
        </w:rPr>
        <w:t>2. Ubiquitous Language</w:t>
      </w:r>
    </w:p>
    <w:tbl>
      <w:tblPr>
        <w:tblW w:type="auto" w:w="0"/>
        <w:jc w:val="center"/>
        <w:tblLayout w:type="fixed"/>
        <w:tblLook w:firstColumn="1" w:firstRow="1" w:lastColumn="0" w:lastRow="0" w:noHBand="0" w:noVBand="1" w:val="04A0"/>
      </w:tblPr>
      <w:tblGrid>
        <w:gridCol w:w="3532"/>
        <w:gridCol w:w="3532"/>
        <w:gridCol w:w="3532"/>
      </w:tblGrid>
      <w:tr>
        <w:trPr>
          <w:tblHeader w:val="true"/>
        </w:trPr>
        <w:tc>
          <w:tcPr>
            <w:tcW w:type="dxa" w:w="170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Thuật ngữ</w:t>
            </w:r>
          </w:p>
        </w:tc>
        <w:tc>
          <w:tcPr>
            <w:tcW w:type="dxa" w:w="5670"/>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Ý nghĩa trong CAB System</w:t>
            </w:r>
          </w:p>
        </w:tc>
        <w:tc>
          <w:tcPr>
            <w:tcW w:type="dxa" w:w="255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Context sở hữu</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Account</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Danh tính đăng nhập và trạng thái truy cập của một người dùng. Không thay thế hồ sơ Customer hoặc Driver.</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Identity &amp; Access</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Customer</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Người sử dụng dịch vụ đặt xe.</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Customer Profile</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Driver</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Người cung cấp dịch vụ lái xe.</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Driver Management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Vehicle</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Phương tiện gắn với Driver theo quy tắc chưa chốt trong OI-18.</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 Management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Driver Location</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Bản ghi vị trí Driver được CAB System tiếp nhận.</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Location</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Booking</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Yêu cầu đặt xe của Customer trước khi quá trình thực hiện Trip được hình thành.</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Booking &amp; Dispatch</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Assignment</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Một đề nghị nhận chuyến gửi tới một Driver cho một Booking.</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&amp; Dispatch</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Trip</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Chuyến đi được theo dõi sau khi Booking có Driver theo quyết định vòng đời tại OI-14.</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 Management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Fare</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Số tiền phải trả được xác định sau khi Trip hoàn thành.</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Fare &amp; Payment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Payment</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Hồ sơ thanh toán của Trip.</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Fare &amp; Payment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Payment Attempt</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Một lần xử lý thanh toán điện tử với nhà cung cấp; không tự suy diễn số lần thử lại.</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Fare &amp; Payment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Notification</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Bản ghi ý định gửi và kết quả gửi thông báo; không đồng nghĩa với việc người nhận đã đọc.</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Notification</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Rating</w:t>
            </w:r>
          </w:p>
        </w:tc>
        <w:tc>
          <w:tcPr>
            <w:tcW w:type="dxa" w:w="567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Đánh giá Customer dành cho Driver sau Trip hoàn thành.</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History &amp; Rating</w:t>
            </w:r>
          </w:p>
        </w:tc>
      </w:tr>
    </w:tbl>
    <w:p>
      <w:pPr>
        <w:spacing w:after="20"/>
      </w:pPr>
    </w:p>
    <w:p>
      <w:pPr>
        <w:pStyle w:val="Heading1"/>
        <w:keepNext/>
        <w:spacing w:before="260" w:after="100"/>
      </w:pPr>
      <w:r>
        <w:rPr>
          <w:rFonts w:ascii="Aptos" w:hAnsi="Aptos"/>
          <w:b/>
          <w:color w:val="000000"/>
          <w:sz w:val="30"/>
        </w:rPr>
        <w:t>3. Bounded Context và Context Map</w:t>
      </w:r>
    </w:p>
    <w:p>
      <w:pPr>
        <w:pStyle w:val="Heading2"/>
        <w:keepNext/>
        <w:spacing w:before="180" w:after="100"/>
      </w:pPr>
      <w:r>
        <w:rPr>
          <w:rFonts w:ascii="Aptos" w:hAnsi="Aptos"/>
          <w:b/>
          <w:color w:val="000000"/>
          <w:sz w:val="25"/>
        </w:rPr>
        <w:t>3.1. Ranh giới context</w:t>
      </w:r>
    </w:p>
    <w:tbl>
      <w:tblPr>
        <w:tblW w:type="auto" w:w="0"/>
        <w:jc w:val="center"/>
        <w:tblLayout w:type="fixed"/>
        <w:tblLook w:firstColumn="1" w:firstRow="1" w:lastColumn="0" w:lastRow="0" w:noHBand="0" w:noVBand="1" w:val="04A0"/>
      </w:tblPr>
      <w:tblGrid>
        <w:gridCol w:w="2649"/>
        <w:gridCol w:w="2649"/>
        <w:gridCol w:w="2649"/>
        <w:gridCol w:w="2649"/>
      </w:tblGrid>
      <w:tr>
        <w:trPr>
          <w:tblHeader w:val="true"/>
        </w:trPr>
        <w:tc>
          <w:tcPr>
            <w:tcW w:type="dxa" w:w="170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Context</w:t>
            </w:r>
          </w:p>
        </w:tc>
        <w:tc>
          <w:tcPr>
            <w:tcW w:type="dxa" w:w="2948"/>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Trách nhiệm</w:t>
            </w:r>
          </w:p>
        </w:tc>
        <w:tc>
          <w:tcPr>
            <w:tcW w:type="dxa" w:w="2608"/>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Dữ liệu chủ sở hữu</w:t>
            </w:r>
          </w:p>
        </w:tc>
        <w:tc>
          <w:tcPr>
            <w:tcW w:type="dxa" w:w="2664"/>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Phụ thuộc chính</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Identity &amp; Access</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Xác thực và quyết định quyền truy cập theo chính sách được duyệt.</w:t>
            </w:r>
          </w:p>
        </w:tc>
        <w:tc>
          <w:tcPr>
            <w:tcW w:type="dxa" w:w="260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Account, credential metadata, access state</w:t>
            </w:r>
          </w:p>
        </w:tc>
        <w:tc>
          <w:tcPr>
            <w:tcW w:type="dxa" w:w="266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Không sở hữu hồ sơ nghiệp vụ.</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Customer Profile</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Cập nhật và cung cấp hồ sơ Customer.</w:t>
            </w:r>
          </w:p>
        </w:tc>
        <w:tc>
          <w:tcPr>
            <w:tcW w:type="dxa" w:w="260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Customer Profile</w:t>
            </w:r>
          </w:p>
        </w:tc>
        <w:tc>
          <w:tcPr>
            <w:tcW w:type="dxa" w:w="266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Identity &amp; Access cho liên kết danh tính.</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Driver Management</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Hồ sơ Driver, phương tiện và trạng thái làm việc/sẵn sàng.</w:t>
            </w:r>
          </w:p>
        </w:tc>
        <w:tc>
          <w:tcPr>
            <w:tcW w:type="dxa" w:w="260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Driver, Vehicle, Availability</w:t>
            </w:r>
          </w:p>
        </w:tc>
        <w:tc>
          <w:tcPr>
            <w:tcW w:type="dxa" w:w="266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Identity &amp; Access; Location cung cấp vị trí riêng.</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Location</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Lưu dữ liệu vị trí Driver và thông tin thời điểm tiếp nhận.</w:t>
            </w:r>
          </w:p>
        </w:tc>
        <w:tc>
          <w:tcPr>
            <w:tcW w:type="dxa" w:w="260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 Location</w:t>
            </w:r>
          </w:p>
        </w:tc>
        <w:tc>
          <w:tcPr>
            <w:tcW w:type="dxa" w:w="266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 Management xác nhận tham chiếu Driver.</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Booking &amp; Dispatch</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quá trình tìm Driver, Assignment và phản hồi.</w:t>
            </w:r>
          </w:p>
        </w:tc>
        <w:tc>
          <w:tcPr>
            <w:tcW w:type="dxa" w:w="260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Assignment</w:t>
            </w:r>
          </w:p>
        </w:tc>
        <w:tc>
          <w:tcPr>
            <w:tcW w:type="dxa" w:w="266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Driver Management, Location, Notification, Trip Management.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Trip Management</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 và các mốc thực hiện Trip.</w:t>
            </w:r>
          </w:p>
        </w:tc>
        <w:tc>
          <w:tcPr>
            <w:tcW w:type="dxa" w:w="260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 Trip Milestone</w:t>
            </w:r>
          </w:p>
        </w:tc>
        <w:tc>
          <w:tcPr>
            <w:tcW w:type="dxa" w:w="266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Booking &amp; Dispatch tạo/liên kết Trip theo OI-14.</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Fare &amp; Payment</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Cước, phương thức thanh toán, giao dịch và tích hợp Payment Provider.</w:t>
            </w:r>
          </w:p>
        </w:tc>
        <w:tc>
          <w:tcPr>
            <w:tcW w:type="dxa" w:w="260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Fare, Payment, Payment Attempt</w:t>
            </w:r>
          </w:p>
        </w:tc>
        <w:tc>
          <w:tcPr>
            <w:tcW w:type="dxa" w:w="266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Trip Management, External Payment Provider, Notification.</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Notification</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Điều phối gửi thông báo qua kênh được duyệt.</w:t>
            </w:r>
          </w:p>
        </w:tc>
        <w:tc>
          <w:tcPr>
            <w:tcW w:type="dxa" w:w="260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Notification, Delivery Result</w:t>
            </w:r>
          </w:p>
        </w:tc>
        <w:tc>
          <w:tcPr>
            <w:tcW w:type="dxa" w:w="266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Nhận yêu cầu từ các context nghiệp vụ.</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History &amp; Rating</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Read model lịch sử và Rating.</w:t>
            </w:r>
          </w:p>
        </w:tc>
        <w:tc>
          <w:tcPr>
            <w:tcW w:type="dxa" w:w="260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Trip History View, Rating</w:t>
            </w:r>
          </w:p>
        </w:tc>
        <w:tc>
          <w:tcPr>
            <w:tcW w:type="dxa" w:w="266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Nhận dữ liệu từ Trip Management và Fare &amp; Payment.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Operations</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Điều phối thao tác hỗ trợ qua service sở hữu dữ liệu.</w:t>
            </w:r>
          </w:p>
        </w:tc>
        <w:tc>
          <w:tcPr>
            <w:tcW w:type="dxa" w:w="260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Operational Case, support action record</w:t>
            </w:r>
          </w:p>
        </w:tc>
        <w:tc>
          <w:tcPr>
            <w:tcW w:type="dxa" w:w="266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Không sở hữu Customer, Driver, Trip hoặc Payment.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Reporting</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Read model và kỳ báo cáo.</w:t>
            </w:r>
          </w:p>
        </w:tc>
        <w:tc>
          <w:tcPr>
            <w:tcW w:type="dxa" w:w="260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Reporting View, Reporting Period</w:t>
            </w:r>
          </w:p>
        </w:tc>
        <w:tc>
          <w:tcPr>
            <w:tcW w:type="dxa" w:w="266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Nhận event đã chọn từ các context nguồn.</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Audit</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Audit trail cho thao tác thuộc danh mục được duyệt.</w:t>
            </w:r>
          </w:p>
        </w:tc>
        <w:tc>
          <w:tcPr>
            <w:tcW w:type="dxa" w:w="260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Audit Entry</w:t>
            </w:r>
          </w:p>
        </w:tc>
        <w:tc>
          <w:tcPr>
            <w:tcW w:type="dxa" w:w="266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Nhận audit event từ service owner.</w:t>
            </w:r>
          </w:p>
        </w:tc>
      </w:tr>
    </w:tbl>
    <w:p>
      <w:pPr>
        <w:spacing w:after="20"/>
      </w:pPr>
    </w:p>
    <w:p>
      <w:pPr>
        <w:pStyle w:val="Heading2"/>
        <w:keepNext/>
        <w:spacing w:before="180" w:after="100"/>
      </w:pPr>
      <w:r>
        <w:rPr>
          <w:rFonts w:ascii="Aptos" w:hAnsi="Aptos"/>
          <w:b/>
          <w:color w:val="000000"/>
          <w:sz w:val="25"/>
        </w:rPr>
        <w:t>3.2. Context Map đề xuất</w:t>
      </w:r>
    </w:p>
    <w:p>
      <w:pPr>
        <w:spacing w:before="0" w:after="120" w:line="269" w:lineRule="auto"/>
      </w:pPr>
      <w:r>
        <w:rPr>
          <w:rFonts w:ascii="Aptos" w:hAnsi="Aptos"/>
          <w:b w:val="0"/>
          <w:color w:val="000000"/>
          <w:sz w:val="21"/>
        </w:rPr>
        <w:t>Gateway là điểm vào cho các kênh bên ngoài. Gateway xác minh ngữ cảnh danh tính, nhưng service xử lý vẫn phải kiểm tra quyền truy cập đối tượng của chính mình. External Payment Provider chỉ giao tiếp với Fare &amp; Payment qua adapter tích hợp.</w:t>
      </w:r>
    </w:p>
    <w:p>
      <w:pPr>
        <w:pStyle w:val="Heading1"/>
        <w:keepNext/>
        <w:spacing w:before="260" w:after="100"/>
      </w:pPr>
      <w:r>
        <w:rPr>
          <w:rFonts w:ascii="Aptos" w:hAnsi="Aptos"/>
          <w:b/>
          <w:color w:val="000000"/>
          <w:sz w:val="30"/>
        </w:rPr>
        <w:t>4. Aggregate và invariant nghiệp vụ</w:t>
      </w:r>
    </w:p>
    <w:tbl>
      <w:tblPr>
        <w:tblW w:type="auto" w:w="0"/>
        <w:jc w:val="center"/>
        <w:tblLayout w:type="fixed"/>
        <w:tblLook w:firstColumn="1" w:firstRow="1" w:lastColumn="0" w:lastRow="0" w:noHBand="0" w:noVBand="1" w:val="04A0"/>
      </w:tblPr>
      <w:tblGrid>
        <w:gridCol w:w="2119"/>
        <w:gridCol w:w="2119"/>
        <w:gridCol w:w="2119"/>
        <w:gridCol w:w="2119"/>
        <w:gridCol w:w="2119"/>
      </w:tblGrid>
      <w:tr>
        <w:trPr>
          <w:tblHeader w:val="true"/>
        </w:trPr>
        <w:tc>
          <w:tcPr>
            <w:tcW w:type="dxa" w:w="1304"/>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Aggregate</w:t>
            </w:r>
          </w:p>
        </w:tc>
        <w:tc>
          <w:tcPr>
            <w:tcW w:type="dxa" w:w="1247"/>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Aggregate Root</w:t>
            </w:r>
          </w:p>
        </w:tc>
        <w:tc>
          <w:tcPr>
            <w:tcW w:type="dxa" w:w="1927"/>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Thành phần chính</w:t>
            </w:r>
          </w:p>
        </w:tc>
        <w:tc>
          <w:tcPr>
            <w:tcW w:type="dxa" w:w="3345"/>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Invariant được áp dụng</w:t>
            </w:r>
          </w:p>
        </w:tc>
        <w:tc>
          <w:tcPr>
            <w:tcW w:type="dxa" w:w="2097"/>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Use Case / yêu cầu liên quan</w:t>
            </w:r>
          </w:p>
        </w:tc>
      </w:tr>
      <w:tr>
        <w:tc>
          <w:tcPr>
            <w:tcW w:type="dxa" w:w="130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Account</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Account</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Credential metadata, access state</w:t>
            </w:r>
          </w:p>
        </w:tc>
        <w:tc>
          <w:tcPr>
            <w:tcW w:type="dxa" w:w="334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Cơ chế xác thực, định danh và quyền chi tiết chờ OI-08, OI-18.</w:t>
            </w:r>
          </w:p>
        </w:tc>
        <w:tc>
          <w:tcPr>
            <w:tcW w:type="dxa" w:w="209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UC-01, UC-02; FR-01, FR-02, FR-56, FR-57</w:t>
            </w:r>
          </w:p>
        </w:tc>
      </w:tr>
      <w:tr>
        <w:tc>
          <w:tcPr>
            <w:tcW w:type="dxa" w:w="130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Driver</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 Profile, Vehicle, Working Status, Availability</w:t>
            </w:r>
          </w:p>
        </w:tc>
        <w:tc>
          <w:tcPr>
            <w:tcW w:type="dxa" w:w="334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Quy tắc trường bắt buộc, quan hệ Driver–Vehicle và chuyển trạng thái chờ OI-14, OI-18.</w:t>
            </w:r>
          </w:p>
        </w:tc>
        <w:tc>
          <w:tcPr>
            <w:tcW w:type="dxa" w:w="209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UC-03, UC-04, UC-16, UC-17; FR-04–FR-09</w:t>
            </w:r>
          </w:p>
        </w:tc>
      </w:tr>
      <w:tr>
        <w:tc>
          <w:tcPr>
            <w:tcW w:type="dxa" w:w="130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Booking</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Pickup, destination, vehicle type, assignment references, version</w:t>
            </w:r>
          </w:p>
        </w:tc>
        <w:tc>
          <w:tcPr>
            <w:tcW w:type="dxa" w:w="334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chỉ được tiếp nhận khi có dữ liệu theo quy tắc đầu vào được duyệt; không dùng Booking thay Trip. Vòng đời và điều kiện kết thúc tìm Driver chờ OI-14.</w:t>
            </w:r>
          </w:p>
        </w:tc>
        <w:tc>
          <w:tcPr>
            <w:tcW w:type="dxa" w:w="209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UC-05, UC-06; FR-11–FR-21</w:t>
            </w:r>
          </w:p>
        </w:tc>
      </w:tr>
      <w:tr>
        <w:tc>
          <w:tcPr>
            <w:tcW w:type="dxa" w:w="130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Assignment</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Assignment</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Booking reference, Driver reference, response, version</w:t>
            </w:r>
          </w:p>
        </w:tc>
        <w:tc>
          <w:tcPr>
            <w:tcW w:type="dxa" w:w="334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Mỗi phản hồi phải tham chiếu đúng Assignment. Quy tắc gửi tuần tự/song song và xử lý phản hồi cạnh tranh chờ OI-02, OI-03, OI-14.</w:t>
            </w:r>
          </w:p>
        </w:tc>
        <w:tc>
          <w:tcPr>
            <w:tcW w:type="dxa" w:w="209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UC-05, UC-06; FR-13–FR-18</w:t>
            </w:r>
          </w:p>
        </w:tc>
      </w:tr>
      <w:tr>
        <w:tc>
          <w:tcPr>
            <w:tcW w:type="dxa" w:w="130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Trip</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Trip</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reference, Driver reference, milestones, version</w:t>
            </w:r>
          </w:p>
        </w:tc>
        <w:tc>
          <w:tcPr>
            <w:tcW w:type="dxa" w:w="334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Mốc Trip chỉ được ghi bởi chủ thể có quyền. Tập chuyển tiếp và quan hệ Booking–Trip chờ OI-14.</w:t>
            </w:r>
          </w:p>
        </w:tc>
        <w:tc>
          <w:tcPr>
            <w:tcW w:type="dxa" w:w="209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UC-07, UC-08; FR-23–FR-27</w:t>
            </w:r>
          </w:p>
        </w:tc>
      </w:tr>
      <w:tr>
        <w:tc>
          <w:tcPr>
            <w:tcW w:type="dxa" w:w="130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Fare &amp; Payment</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Payment</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Fare, payment method, payment attempts, provider references</w:t>
            </w:r>
          </w:p>
        </w:tc>
        <w:tc>
          <w:tcPr>
            <w:tcW w:type="dxa" w:w="334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Fare được xác định sau Trip hoàn thành. Không lưu dữ liệu nhạy cảm của thẻ/tài khoản. Retry, tiền mặt và kết quả trùng/muộn chờ OI-01, OI-07, OI-17.</w:t>
            </w:r>
          </w:p>
        </w:tc>
        <w:tc>
          <w:tcPr>
            <w:tcW w:type="dxa" w:w="209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UC-09; FR-28–FR-34</w:t>
            </w:r>
          </w:p>
        </w:tc>
      </w:tr>
      <w:tr>
        <w:tc>
          <w:tcPr>
            <w:tcW w:type="dxa" w:w="130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Rating</w:t>
            </w:r>
          </w:p>
        </w:tc>
        <w:tc>
          <w:tcPr>
            <w:tcW w:type="dxa" w:w="124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Rating</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Trip reference, Customer reference, Driver reference, rating content</w:t>
            </w:r>
          </w:p>
        </w:tc>
        <w:tc>
          <w:tcPr>
            <w:tcW w:type="dxa" w:w="334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Chỉ tạo theo điều kiện Trip hoàn thành; thang điểm, hạn và chống trùng chờ OI-10.</w:t>
            </w:r>
          </w:p>
        </w:tc>
        <w:tc>
          <w:tcPr>
            <w:tcW w:type="dxa" w:w="209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UC-11; FR-42</w:t>
            </w:r>
          </w:p>
        </w:tc>
      </w:tr>
    </w:tbl>
    <w:p>
      <w:pPr>
        <w:spacing w:after="20"/>
      </w:pPr>
    </w:p>
    <w:p>
      <w:pPr>
        <w:spacing w:before="0" w:after="120" w:line="269" w:lineRule="auto"/>
      </w:pPr>
      <w:r>
        <w:rPr>
          <w:rFonts w:ascii="Aptos" w:hAnsi="Aptos"/>
          <w:b w:val="0"/>
          <w:color w:val="000000"/>
          <w:sz w:val="21"/>
        </w:rPr>
        <w:t>Các aggregate dùng version để phát hiện cập nhật đồng thời. Cơ chế kiểm soát đồng thời cụ thể là quyết định kỹ thuật; không được dùng nó để tự chọn Driver thắng cuộc khi SRS chưa chốt chính sách.</w:t>
      </w:r>
    </w:p>
    <w:p>
      <w:pPr>
        <w:pStyle w:val="Heading1"/>
        <w:keepNext/>
        <w:spacing w:before="260" w:after="100"/>
      </w:pPr>
      <w:r>
        <w:rPr>
          <w:rFonts w:ascii="Aptos" w:hAnsi="Aptos"/>
          <w:b/>
          <w:color w:val="000000"/>
          <w:sz w:val="30"/>
        </w:rPr>
        <w:t>5. Domain Event phát sinh từ Use Case</w:t>
      </w:r>
    </w:p>
    <w:p>
      <w:pPr>
        <w:spacing w:before="0" w:after="120" w:line="269" w:lineRule="auto"/>
      </w:pPr>
      <w:r>
        <w:rPr>
          <w:rFonts w:ascii="Aptos" w:hAnsi="Aptos"/>
          <w:b w:val="0"/>
          <w:color w:val="000000"/>
          <w:sz w:val="21"/>
        </w:rPr>
        <w:t>Domain event dưới đây là hợp đồng nội bộ đề xuất. Event chỉ phát sau khi service owner lưu thay đổi nghiệp vụ bền vững. Payload phải chứa định danh và dữ liệu tối thiểu cho consumer; không truyền credential hoặc thông tin thanh toán nhạy cảm.</w:t>
      </w:r>
    </w:p>
    <w:tbl>
      <w:tblPr>
        <w:tblW w:type="auto" w:w="0"/>
        <w:jc w:val="center"/>
        <w:tblLayout w:type="fixed"/>
        <w:tblLook w:firstColumn="1" w:firstRow="1" w:lastColumn="0" w:lastRow="0" w:noHBand="0" w:noVBand="1" w:val="04A0"/>
      </w:tblPr>
      <w:tblGrid>
        <w:gridCol w:w="2119"/>
        <w:gridCol w:w="2119"/>
        <w:gridCol w:w="2119"/>
        <w:gridCol w:w="2119"/>
        <w:gridCol w:w="2119"/>
      </w:tblGrid>
      <w:tr>
        <w:trPr>
          <w:tblHeader w:val="true"/>
        </w:trPr>
        <w:tc>
          <w:tcPr>
            <w:tcW w:type="dxa" w:w="1814"/>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Domain Event</w:t>
            </w:r>
          </w:p>
        </w:tc>
        <w:tc>
          <w:tcPr>
            <w:tcW w:type="dxa" w:w="1530"/>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Use Case nguồn</w:t>
            </w:r>
          </w:p>
        </w:tc>
        <w:tc>
          <w:tcPr>
            <w:tcW w:type="dxa" w:w="1417"/>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Producer</w:t>
            </w:r>
          </w:p>
        </w:tc>
        <w:tc>
          <w:tcPr>
            <w:tcW w:type="dxa" w:w="1927"/>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Consumer</w:t>
            </w:r>
          </w:p>
        </w:tc>
        <w:tc>
          <w:tcPr>
            <w:tcW w:type="dxa" w:w="323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Mục đích</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account.registered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UC-01, UC-03</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Identity &amp; Access</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Customer Profile, Driver Management, Audit</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Khởi tạo liên kết hồ sơ theo loại người dùng.</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customer.profile-updated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UC-15</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Customer Profile</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Audit</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Lưu vết thay đổi hồ sơ cần audit.</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driver.availability-changed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UC-17</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Driver Management</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&amp; Dispatch, Audit</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Cung cấp trạng thái Driver cho quá trình tìm Driver.</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driver.location-recorded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UC-18</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Location</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Booking &amp; Dispatch, Trip Management</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Cung cấp vị trí đã tiếp nhận cho điều phối hoặc ETA.</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booking.received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UC-05</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&amp; Dispatch</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Notification, Audit</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Xác nhận Booking đã được tiếp nhận và bắt đầu điều phối.</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assignment.offered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UC-05</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Booking &amp; Dispatch</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Notification</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Yêu cầu Notification gửi đề nghị phù hợp tới Driver.</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assignment.responded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UC-06</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&amp; Dispatch</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Audit</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Ghi nhận phản hồi của Driver cho Assignment.</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booking.driver-assigned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UC-05, UC-06</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Booking &amp; Dispatch</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 Management, Notification, History &amp; Rating</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Thông báo kết quả gán Driver; tạo/liên kết Trip theo OI-14.</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booking.no-driver</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UC-05</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&amp; Dispatch</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Notification, History &amp; Rating</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Thông báo không tìm được Driver.</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trip.milestone-recorded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UC-08</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 Management</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Notification, History &amp; Rating, Audit</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Đồng bộ mốc Trip cho các consumer cần thiết.</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trip.completed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UC-08</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Trip Management</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Fare &amp; Payment, History &amp; Rating, Notification</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Kích hoạt xác định cước và cập nhật read model.</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fare.determined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UC-09</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Fare &amp; Payment</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Notification, History &amp; Rating, Reporting</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Cung cấp số tiền đã xác định cho các consumer được phép.</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payment.result-recorded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UC-09</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Fare &amp; Payment</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Notification, History &amp; Rating, Reporting, Audit</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Công bố kết quả thanh toán đã được đối chiếu.</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rating.submitted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UC-11</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History &amp; Rating</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Reporting, Audit</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Cập nhật dữ liệu đánh giá theo chính sách OI-10.</w:t>
            </w:r>
          </w:p>
        </w:tc>
      </w:tr>
      <w:tr>
        <w:tc>
          <w:tcPr>
            <w:tcW w:type="dxa" w:w="181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auditable-action-recorded</w:t>
            </w:r>
          </w:p>
        </w:tc>
        <w:tc>
          <w:tcPr>
            <w:tcW w:type="dxa" w:w="1530"/>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Các UC có thao tác quan trọng</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Service owner</w:t>
            </w:r>
          </w:p>
        </w:tc>
        <w:tc>
          <w:tcPr>
            <w:tcW w:type="dxa" w:w="192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Audit</w:t>
            </w:r>
          </w:p>
        </w:tc>
        <w:tc>
          <w:tcPr>
            <w:tcW w:type="dxa" w:w="323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Lưu vết thao tác thuộc danh mục audit được duyệt.</w:t>
            </w:r>
          </w:p>
        </w:tc>
      </w:tr>
    </w:tbl>
    <w:p>
      <w:pPr>
        <w:spacing w:after="20"/>
      </w:pPr>
    </w:p>
    <w:p>
      <w:pPr>
        <w:spacing w:before="0" w:after="120" w:line="269" w:lineRule="auto"/>
      </w:pPr>
      <w:r>
        <w:rPr>
          <w:rFonts w:ascii="Aptos" w:hAnsi="Aptos"/>
          <w:b w:val="0"/>
          <w:color w:val="000000"/>
          <w:sz w:val="21"/>
        </w:rPr>
        <w:t>Envelope event đề xuất gồm eventId, eventType, schemaVersion, occurredAt, producer, aggregateId, aggregateVersion, correlationId và payload. Consumer phải xử lý event lặp an toàn theo eventId và phiên bản aggregate.</w:t>
      </w:r>
    </w:p>
    <w:p>
      <w:pPr>
        <w:pStyle w:val="Heading1"/>
        <w:keepNext/>
        <w:spacing w:before="260" w:after="100"/>
      </w:pPr>
      <w:r>
        <w:rPr>
          <w:rFonts w:ascii="Aptos" w:hAnsi="Aptos"/>
          <w:b/>
          <w:color w:val="000000"/>
          <w:sz w:val="30"/>
        </w:rPr>
        <w:t>6. Ánh xạ Context sang Microservice</w:t>
      </w:r>
    </w:p>
    <w:tbl>
      <w:tblPr>
        <w:tblW w:type="auto" w:w="0"/>
        <w:jc w:val="center"/>
        <w:tblLayout w:type="fixed"/>
        <w:tblLook w:firstColumn="1" w:firstRow="1" w:lastColumn="0" w:lastRow="0" w:noHBand="0" w:noVBand="1" w:val="04A0"/>
      </w:tblPr>
      <w:tblGrid>
        <w:gridCol w:w="2649"/>
        <w:gridCol w:w="2649"/>
        <w:gridCol w:w="2649"/>
        <w:gridCol w:w="2649"/>
      </w:tblGrid>
      <w:tr>
        <w:trPr>
          <w:tblHeader w:val="true"/>
        </w:trPr>
        <w:tc>
          <w:tcPr>
            <w:tcW w:type="dxa" w:w="170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Bounded Context</w:t>
            </w:r>
          </w:p>
        </w:tc>
        <w:tc>
          <w:tcPr>
            <w:tcW w:type="dxa" w:w="170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Service đề xuất</w:t>
            </w:r>
          </w:p>
        </w:tc>
        <w:tc>
          <w:tcPr>
            <w:tcW w:type="dxa" w:w="1984"/>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Kho dữ liệu logic</w:t>
            </w:r>
          </w:p>
        </w:tc>
        <w:tc>
          <w:tcPr>
            <w:tcW w:type="dxa" w:w="4536"/>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Giao tiếp chính</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Identity &amp; Access</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identity-service</w:t>
            </w:r>
          </w:p>
        </w:tc>
        <w:tc>
          <w:tcPr>
            <w:tcW w:type="dxa" w:w="198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identity store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API đồng bộ qua Gateway; phát account.registered.</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Customer Profile</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customer-service</w:t>
            </w:r>
          </w:p>
        </w:tc>
        <w:tc>
          <w:tcPr>
            <w:tcW w:type="dxa" w:w="198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customer store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API đồng bộ; nhận event liên kết account.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Driver Management</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driver-service</w:t>
            </w:r>
          </w:p>
        </w:tc>
        <w:tc>
          <w:tcPr>
            <w:tcW w:type="dxa" w:w="198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driver store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API đồng bộ; phát trạng thái Driver.</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Location</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location-service</w:t>
            </w:r>
          </w:p>
        </w:tc>
        <w:tc>
          <w:tcPr>
            <w:tcW w:type="dxa" w:w="198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location store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API tiếp nhận vị trí; cung cấp dữ liệu điều phối/ETA.</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Booking &amp; Dispatch</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booking-service</w:t>
            </w:r>
          </w:p>
        </w:tc>
        <w:tc>
          <w:tcPr>
            <w:tcW w:type="dxa" w:w="198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store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API Customer/Driver; gọi dữ liệu cần thiết; phát event Booking/Assignment.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Trip Management</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trip-service</w:t>
            </w:r>
          </w:p>
        </w:tc>
        <w:tc>
          <w:tcPr>
            <w:tcW w:type="dxa" w:w="198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 store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API Driver/Customer/Operations; nhận kết quả gán Driver.</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Fare &amp; Payment</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billing-service</w:t>
            </w:r>
          </w:p>
        </w:tc>
        <w:tc>
          <w:tcPr>
            <w:tcW w:type="dxa" w:w="198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billing store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Nhận event Trip; adapter tới External Payment Provider.</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Notification</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notification-service</w:t>
            </w:r>
          </w:p>
        </w:tc>
        <w:tc>
          <w:tcPr>
            <w:tcW w:type="dxa" w:w="198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notification store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Nhận yêu cầu/event; gọi channel provider theo OI-12.</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History &amp; Rating</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history-rating-service</w:t>
            </w:r>
          </w:p>
        </w:tc>
        <w:tc>
          <w:tcPr>
            <w:tcW w:type="dxa" w:w="198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history-rating store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Read API Customer; nhận event Trip/Fare; API tạo Rating.</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Operations</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operations-service</w:t>
            </w:r>
          </w:p>
        </w:tc>
        <w:tc>
          <w:tcPr>
            <w:tcW w:type="dxa" w:w="198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operations store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API Operations; gọi command/API của service owner.</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Reporting</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reporting-service</w:t>
            </w:r>
          </w:p>
        </w:tc>
        <w:tc>
          <w:tcPr>
            <w:tcW w:type="dxa" w:w="198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reporting store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Nhận event; read API báo cáo.</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Audit</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audit-service</w:t>
            </w:r>
          </w:p>
        </w:tc>
        <w:tc>
          <w:tcPr>
            <w:tcW w:type="dxa" w:w="1984"/>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audit store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Nhận audit event; read API theo quyền được duyệt.</w:t>
            </w:r>
          </w:p>
        </w:tc>
      </w:tr>
    </w:tbl>
    <w:p>
      <w:pPr>
        <w:spacing w:after="20"/>
      </w:pPr>
    </w:p>
    <w:p>
      <w:pPr>
        <w:spacing w:before="0" w:after="120" w:line="269" w:lineRule="auto"/>
      </w:pPr>
      <w:r>
        <w:rPr>
          <w:rFonts w:ascii="Aptos" w:hAnsi="Aptos"/>
          <w:b w:val="0"/>
          <w:color w:val="000000"/>
          <w:sz w:val="21"/>
        </w:rPr>
        <w:t>Đây là ranh giới service logic. Quyết định triển khai độc lập tất cả service hoặc gộp một số service trong release đầu tiên phụ thuộc OI-11, OI-13 và năng lực vận hành. Gộp triển khai không làm thay đổi quyền sở hữu miền hoặc hợp đồng giữa các context.</w:t>
      </w:r>
    </w:p>
    <w:p>
      <w:pPr>
        <w:pStyle w:val="Heading1"/>
        <w:keepNext/>
        <w:spacing w:before="260" w:after="100"/>
      </w:pPr>
      <w:r>
        <w:rPr>
          <w:rFonts w:ascii="Aptos" w:hAnsi="Aptos"/>
          <w:b/>
          <w:color w:val="000000"/>
          <w:sz w:val="30"/>
        </w:rPr>
        <w:t>7. Mô tả Service</w:t>
      </w:r>
    </w:p>
    <w:p>
      <w:pPr>
        <w:pStyle w:val="Heading2"/>
        <w:keepNext/>
        <w:spacing w:before="180" w:after="100"/>
      </w:pPr>
      <w:r>
        <w:rPr>
          <w:rFonts w:ascii="Aptos" w:hAnsi="Aptos"/>
          <w:b/>
          <w:color w:val="000000"/>
          <w:sz w:val="25"/>
        </w:rPr>
        <w:t>7.1. identity-service</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38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Nội dung</w:t>
            </w:r>
          </w:p>
        </w:tc>
        <w:tc>
          <w:tcPr>
            <w:tcW w:type="dxa" w:w="754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Thiết kế</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Trách nhiệm</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Đăng ký, đăng nhập, xác thực và thực thi chính sách truy cập đã được duyệt.</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Dữ liệu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Account, credential metadata, access state.</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API ngoài</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Đăng ký, đăng nhập, xác thực phiên theo cơ chế OI-18.</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Event phát</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account.registered, auditable-action-recorded.</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Không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Customer Profile, Driver Profile, Vehicle.</w:t>
            </w:r>
          </w:p>
        </w:tc>
      </w:tr>
    </w:tbl>
    <w:p>
      <w:pPr>
        <w:spacing w:after="20"/>
      </w:pPr>
    </w:p>
    <w:p>
      <w:pPr>
        <w:pStyle w:val="Heading2"/>
        <w:keepNext/>
        <w:spacing w:before="180" w:after="100"/>
      </w:pPr>
      <w:r>
        <w:rPr>
          <w:rFonts w:ascii="Aptos" w:hAnsi="Aptos"/>
          <w:b/>
          <w:color w:val="000000"/>
          <w:sz w:val="25"/>
        </w:rPr>
        <w:t>7.2. customer-service</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38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Nội dung</w:t>
            </w:r>
          </w:p>
        </w:tc>
        <w:tc>
          <w:tcPr>
            <w:tcW w:type="dxa" w:w="754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Thiết kế</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Trách nhiệm</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Cung cấp và cập nhật hồ sơ Customer.</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Dữ liệu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Customer Profile và liên kết Account.</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API ngoài</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Xem/cập nhật hồ sơ Customer.</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Event phát</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customer.profile-updated, audit event khi áp dụng.</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Không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Trip, Payment và Rating.</w:t>
            </w:r>
          </w:p>
        </w:tc>
      </w:tr>
    </w:tbl>
    <w:p>
      <w:pPr>
        <w:spacing w:after="20"/>
      </w:pPr>
    </w:p>
    <w:p>
      <w:pPr>
        <w:pStyle w:val="Heading2"/>
        <w:keepNext/>
        <w:spacing w:before="180" w:after="100"/>
      </w:pPr>
      <w:r>
        <w:rPr>
          <w:rFonts w:ascii="Aptos" w:hAnsi="Aptos"/>
          <w:b/>
          <w:color w:val="000000"/>
          <w:sz w:val="25"/>
        </w:rPr>
        <w:t>7.3. driver-service</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38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Nội dung</w:t>
            </w:r>
          </w:p>
        </w:tc>
        <w:tc>
          <w:tcPr>
            <w:tcW w:type="dxa" w:w="754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Thiết kế</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Trách nhiệm</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Quản lý Driver, Vehicle, trạng thái làm việc và sẵn sàng nhận chuyến.</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Dữ liệu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 Vehicle, working status, availability.</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API ngoài</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Thiết lập/cập nhật Driver, Vehicle và trạng thái hoạt động.</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Event phát</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driver.availability-changed, audit event khi áp dụng.</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Không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Vị trí Driver, Assignment, Booking hoặc Trip.</w:t>
            </w:r>
          </w:p>
        </w:tc>
      </w:tr>
    </w:tbl>
    <w:p>
      <w:pPr>
        <w:spacing w:after="20"/>
      </w:pPr>
    </w:p>
    <w:p>
      <w:pPr>
        <w:pStyle w:val="Heading2"/>
        <w:keepNext/>
        <w:spacing w:before="180" w:after="100"/>
      </w:pPr>
      <w:r>
        <w:rPr>
          <w:rFonts w:ascii="Aptos" w:hAnsi="Aptos"/>
          <w:b/>
          <w:color w:val="000000"/>
          <w:sz w:val="25"/>
        </w:rPr>
        <w:t>7.4. location-service</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38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Nội dung</w:t>
            </w:r>
          </w:p>
        </w:tc>
        <w:tc>
          <w:tcPr>
            <w:tcW w:type="dxa" w:w="754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Thiết kế</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Trách nhiệm</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Tiếp nhận, lưu và cung cấp vị trí Driver đã ghi nhận.</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Dữ liệu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 Location, thời điểm quan sát/tiếp nhận nếu có.</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API ngoài</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Gửi vị trí Driver; truy vấn vị trí cho consumer được cấp quyền.</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Event phát</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driver.location-recorded.</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Điểm chờ quyết định</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Tần suất, độ chính xác, độ mới, offline/reconnect và retention theo OI-05, OI-06, OI-19.</w:t>
            </w:r>
          </w:p>
        </w:tc>
      </w:tr>
    </w:tbl>
    <w:p>
      <w:pPr>
        <w:spacing w:after="20"/>
      </w:pPr>
    </w:p>
    <w:p>
      <w:pPr>
        <w:pStyle w:val="Heading2"/>
        <w:keepNext/>
        <w:spacing w:before="180" w:after="100"/>
      </w:pPr>
      <w:r>
        <w:rPr>
          <w:rFonts w:ascii="Aptos" w:hAnsi="Aptos"/>
          <w:b/>
          <w:color w:val="000000"/>
          <w:sz w:val="25"/>
        </w:rPr>
        <w:t>7.5. booking-service</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38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Nội dung</w:t>
            </w:r>
          </w:p>
        </w:tc>
        <w:tc>
          <w:tcPr>
            <w:tcW w:type="dxa" w:w="754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Thiết kế</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Trách nhiệm</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Tiếp nhận Booking, xác định Driver phù hợp, quản lý Assignment và phản hồi.</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Dữ liệu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Booking, Assignment và dữ liệu điều phối thuộc Booking.</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API ngoài</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Tạo/xem Booking; nhận phản hồi Assignment từ Driver.</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API/service phụ thuộc</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Driver-service và location-service để truy vấn dữ liệu điều phối trong phạm vi được phép.</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Event phát</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booking.received, assignment.offered, assignment.responded, booking.driver-assigned, booking.no-driver.</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Điểm chờ quyết định</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Tiêu chí chọn Driver, thứ tự gửi, timeout, phản hồi đồng thời và trạng thái Booking theo OI-02, OI-03, OI-14.</w:t>
            </w:r>
          </w:p>
        </w:tc>
      </w:tr>
    </w:tbl>
    <w:p>
      <w:pPr>
        <w:spacing w:after="20"/>
      </w:pPr>
    </w:p>
    <w:p>
      <w:pPr>
        <w:pStyle w:val="Heading2"/>
        <w:keepNext/>
        <w:spacing w:before="180" w:after="100"/>
      </w:pPr>
      <w:r>
        <w:rPr>
          <w:rFonts w:ascii="Aptos" w:hAnsi="Aptos"/>
          <w:b/>
          <w:color w:val="000000"/>
          <w:sz w:val="25"/>
        </w:rPr>
        <w:t>7.6. trip-service</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38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Nội dung</w:t>
            </w:r>
          </w:p>
        </w:tc>
        <w:tc>
          <w:tcPr>
            <w:tcW w:type="dxa" w:w="754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Thiết kế</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Trách nhiệm</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Quản lý Trip, cho phép Driver cập nhật mốc Trip và cung cấp trạng thái cho Customer/Operations.</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Dữ liệu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 Trip Milestone, liên kết Booking/Driver.</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API ngoài</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Xem Trip, cập nhật mốc Trip, xem Trip đang diễn ra theo quyền.</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Event nhận</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booking.driver-assigned.</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Event phát</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trip.milestone-recorded, trip.completed.</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Điểm chờ quyết định</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Khi tạo Trip, quan hệ Booking–Trip, trạng thái và chuyển tiếp hợp lệ theo OI-14.</w:t>
            </w:r>
          </w:p>
        </w:tc>
      </w:tr>
    </w:tbl>
    <w:p>
      <w:pPr>
        <w:spacing w:after="20"/>
      </w:pPr>
    </w:p>
    <w:p>
      <w:pPr>
        <w:pStyle w:val="Heading2"/>
        <w:keepNext/>
        <w:spacing w:before="180" w:after="100"/>
      </w:pPr>
      <w:r>
        <w:rPr>
          <w:rFonts w:ascii="Aptos" w:hAnsi="Aptos"/>
          <w:b/>
          <w:color w:val="000000"/>
          <w:sz w:val="25"/>
        </w:rPr>
        <w:t>7.7. billing-service</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38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Nội dung</w:t>
            </w:r>
          </w:p>
        </w:tc>
        <w:tc>
          <w:tcPr>
            <w:tcW w:type="dxa" w:w="754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Thiết kế</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Trách nhiệm</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Xác định Fare, quản lý Payment và giao tiếp với External Payment Provider.</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Dữ liệu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Fare, Payment, Payment Attempt, provider reference.</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API ngoài</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Xem Fare/Payment; khởi tạo thanh toán điện tử; tiếp nhận callback qua adapter được bảo vệ.</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Event nhận</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trip.completed.</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Event phát</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fare.determined, payment.result-recorded.</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Điểm chờ quyết định</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Công thức cước, tiền tệ/làm tròn, tiền mặt, retry, kết quả trùng/muộn và provider contract theo OI-01, OI-07, OI-15, OI-17.</w:t>
            </w:r>
          </w:p>
        </w:tc>
      </w:tr>
    </w:tbl>
    <w:p>
      <w:pPr>
        <w:spacing w:after="20"/>
      </w:pPr>
    </w:p>
    <w:p>
      <w:pPr>
        <w:pStyle w:val="Heading2"/>
        <w:keepNext/>
        <w:spacing w:before="180" w:after="100"/>
      </w:pPr>
      <w:r>
        <w:rPr>
          <w:rFonts w:ascii="Aptos" w:hAnsi="Aptos"/>
          <w:b/>
          <w:color w:val="000000"/>
          <w:sz w:val="25"/>
        </w:rPr>
        <w:t>7.8. notification-service</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38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Nội dung</w:t>
            </w:r>
          </w:p>
        </w:tc>
        <w:tc>
          <w:tcPr>
            <w:tcW w:type="dxa" w:w="754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Thiết kế</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Trách nhiệm</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Ghi nhận yêu cầu thông báo, chọn adapter kênh và lưu kết quả gửi.</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Dữ liệu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Notification, delivery result, provider reference.</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Event nhận</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Event Booking, Trip và Payment cần gửi thông báo.</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API ngoài</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Không là owner của nghiệp vụ; chỉ cung cấp truy vấn delivery khi được cấp quyền.</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Điểm chờ quyết định</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Kênh, nhà cung cấp, nội dung, retry và xác nhận gửi theo OI-12.</w:t>
            </w:r>
          </w:p>
        </w:tc>
      </w:tr>
    </w:tbl>
    <w:p>
      <w:pPr>
        <w:spacing w:after="20"/>
      </w:pPr>
    </w:p>
    <w:p>
      <w:pPr>
        <w:pStyle w:val="Heading2"/>
        <w:keepNext/>
        <w:spacing w:before="180" w:after="100"/>
      </w:pPr>
      <w:r>
        <w:rPr>
          <w:rFonts w:ascii="Aptos" w:hAnsi="Aptos"/>
          <w:b/>
          <w:color w:val="000000"/>
          <w:sz w:val="25"/>
        </w:rPr>
        <w:t>7.9. history-rating-service</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38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Nội dung</w:t>
            </w:r>
          </w:p>
        </w:tc>
        <w:tc>
          <w:tcPr>
            <w:tcW w:type="dxa" w:w="754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Thiết kế</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Trách nhiệm</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Cung cấp lịch sử Trip cho Customer và tiếp nhận Rating.</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Dữ liệu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 History View, Rating.</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Event nhận</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booking.driver-assigned, trip.milestone-recorded, trip.completed, fare.determined, payment.result-recorded.</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API ngoài</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Xem lịch sử Trip; gửi Rating.</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Điểm chờ quyết định</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Dữ liệu hiển thị, retention và chính sách Rating theo OI-06, OI-10.</w:t>
            </w:r>
          </w:p>
        </w:tc>
      </w:tr>
    </w:tbl>
    <w:p>
      <w:pPr>
        <w:spacing w:after="20"/>
      </w:pPr>
    </w:p>
    <w:p>
      <w:pPr>
        <w:pStyle w:val="Heading2"/>
        <w:keepNext/>
        <w:spacing w:before="180" w:after="100"/>
      </w:pPr>
      <w:r>
        <w:rPr>
          <w:rFonts w:ascii="Aptos" w:hAnsi="Aptos"/>
          <w:b/>
          <w:color w:val="000000"/>
          <w:sz w:val="25"/>
        </w:rPr>
        <w:t>7.10. operations-service</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38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Nội dung</w:t>
            </w:r>
          </w:p>
        </w:tc>
        <w:tc>
          <w:tcPr>
            <w:tcW w:type="dxa" w:w="754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Thiết kế</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Trách nhiệm</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Cung cấp điểm vào cho Operations Staff, điều phối tra cứu/hỗ trợ và ghi nhận operational case.</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Dữ liệu sở hữu</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Operational Case, support action record.</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API/service phụ thuộc</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Gọi API/command của Customer, Driver, Trip, Billing và Audit theo quyền.</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Nguyên tắc</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Không ghi trực tiếp dữ liệu sở hữu bởi service khác; service owner xác thực quyền và thực hiện thay đổi.</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Điểm chờ quyết định</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Permission matrix và danh mục thao tác hỗ trợ theo OI-08, OI-20.</w:t>
            </w:r>
          </w:p>
        </w:tc>
      </w:tr>
    </w:tbl>
    <w:p>
      <w:pPr>
        <w:spacing w:after="20"/>
      </w:pPr>
    </w:p>
    <w:p>
      <w:pPr>
        <w:pStyle w:val="Heading2"/>
        <w:keepNext/>
        <w:spacing w:before="180" w:after="100"/>
      </w:pPr>
      <w:r>
        <w:rPr>
          <w:rFonts w:ascii="Aptos" w:hAnsi="Aptos"/>
          <w:b/>
          <w:color w:val="000000"/>
          <w:sz w:val="25"/>
        </w:rPr>
        <w:t>7.11. reporting-service và audit-service</w:t>
      </w:r>
    </w:p>
    <w:tbl>
      <w:tblPr>
        <w:tblW w:type="auto" w:w="0"/>
        <w:jc w:val="center"/>
        <w:tblLayout w:type="fixed"/>
        <w:tblLook w:firstColumn="1" w:firstRow="1" w:lastColumn="0" w:lastRow="0" w:noHBand="0" w:noVBand="1" w:val="04A0"/>
      </w:tblPr>
      <w:tblGrid>
        <w:gridCol w:w="2649"/>
        <w:gridCol w:w="2649"/>
        <w:gridCol w:w="2649"/>
        <w:gridCol w:w="2649"/>
      </w:tblGrid>
      <w:tr>
        <w:trPr>
          <w:tblHeader w:val="true"/>
        </w:trPr>
        <w:tc>
          <w:tcPr>
            <w:tcW w:type="dxa" w:w="170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Service</w:t>
            </w:r>
          </w:p>
        </w:tc>
        <w:tc>
          <w:tcPr>
            <w:tcW w:type="dxa" w:w="2948"/>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Trách nhiệm</w:t>
            </w:r>
          </w:p>
        </w:tc>
        <w:tc>
          <w:tcPr>
            <w:tcW w:type="dxa" w:w="255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Dữ liệu sở hữu</w:t>
            </w:r>
          </w:p>
        </w:tc>
        <w:tc>
          <w:tcPr>
            <w:tcW w:type="dxa" w:w="272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Điểm chờ quyết định</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reporting-service</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Nhận dữ liệu cần thiết, xây dựng read model và cung cấp báo cáo.</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Reporting View, Reporting Period</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Công thức, kỳ, quyền truy cập và độ trễ theo OI-09, OI-13.</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audit-service</w:t>
            </w:r>
          </w:p>
        </w:tc>
        <w:tc>
          <w:tcPr>
            <w:tcW w:type="dxa" w:w="294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Lưu và cung cấp audit trail cho thao tác thuộc danh mục được duyệt.</w:t>
            </w:r>
          </w:p>
        </w:tc>
        <w:tc>
          <w:tcPr>
            <w:tcW w:type="dxa" w:w="255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Audit Entry</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Danh mục thao tác, dữ liệu lưu, retention và quyền tra cứu theo OI-06, OI-16.</w:t>
            </w:r>
          </w:p>
        </w:tc>
      </w:tr>
    </w:tbl>
    <w:p>
      <w:pPr>
        <w:spacing w:after="20"/>
      </w:pPr>
    </w:p>
    <w:p>
      <w:pPr>
        <w:pStyle w:val="Heading1"/>
        <w:keepNext/>
        <w:spacing w:before="260" w:after="100"/>
      </w:pPr>
      <w:r>
        <w:rPr>
          <w:rFonts w:ascii="Aptos" w:hAnsi="Aptos"/>
          <w:b/>
          <w:color w:val="000000"/>
          <w:sz w:val="30"/>
        </w:rPr>
        <w:t>8. Mô hình dữ liệu cho Service</w:t>
      </w:r>
    </w:p>
    <w:p>
      <w:pPr>
        <w:spacing w:before="0" w:after="120" w:line="269" w:lineRule="auto"/>
      </w:pPr>
      <w:r>
        <w:rPr>
          <w:rFonts w:ascii="Aptos" w:hAnsi="Aptos"/>
          <w:b w:val="0"/>
          <w:color w:val="000000"/>
          <w:sz w:val="21"/>
        </w:rPr>
        <w:t>Mô hình dưới đây là mô hình logic, không phải schema vật lý. Tên trường và bắt buộc/duy nhất phải được chốt tại OI-18 hoặc Open Issue liên quan trước khi tạo database schema.</w:t>
      </w:r>
    </w:p>
    <w:tbl>
      <w:tblPr>
        <w:tblW w:type="auto" w:w="0"/>
        <w:jc w:val="center"/>
        <w:tblLayout w:type="fixed"/>
        <w:tblLook w:firstColumn="1" w:firstRow="1" w:lastColumn="0" w:lastRow="0" w:noHBand="0" w:noVBand="1" w:val="04A0"/>
      </w:tblPr>
      <w:tblGrid>
        <w:gridCol w:w="3532"/>
        <w:gridCol w:w="3532"/>
        <w:gridCol w:w="3532"/>
      </w:tblGrid>
      <w:tr>
        <w:trPr>
          <w:tblHeader w:val="true"/>
        </w:trPr>
        <w:tc>
          <w:tcPr>
            <w:tcW w:type="dxa" w:w="170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Service</w:t>
            </w:r>
          </w:p>
        </w:tc>
        <w:tc>
          <w:tcPr>
            <w:tcW w:type="dxa" w:w="272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Entity logic</w:t>
            </w:r>
          </w:p>
        </w:tc>
        <w:tc>
          <w:tcPr>
            <w:tcW w:type="dxa" w:w="5499"/>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Quan hệ chính</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identity-service</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Account, Access State</w:t>
            </w:r>
          </w:p>
        </w:tc>
        <w:tc>
          <w:tcPr>
            <w:tcW w:type="dxa" w:w="5499"/>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Account liên kết một Customer hoặc Driver profile theo loại tài khoản được duyệt.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customer-service</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Customer Profile</w:t>
            </w:r>
          </w:p>
        </w:tc>
        <w:tc>
          <w:tcPr>
            <w:tcW w:type="dxa" w:w="5499"/>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Customer Profile tham chiếu Account.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driver-service</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Driver, Vehicle, Availability</w:t>
            </w:r>
          </w:p>
        </w:tc>
        <w:tc>
          <w:tcPr>
            <w:tcW w:type="dxa" w:w="5499"/>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Driver liên kết Account; quan hệ Driver–Vehicle chờ OI-18.</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location-service</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 Location</w:t>
            </w:r>
          </w:p>
        </w:tc>
        <w:tc>
          <w:tcPr>
            <w:tcW w:type="dxa" w:w="5499"/>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Nhiều bản ghi vị trí tham chiếu một Driver; retention chờ OI-06.</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booking-service</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Assignment</w:t>
            </w:r>
          </w:p>
        </w:tc>
        <w:tc>
          <w:tcPr>
            <w:tcW w:type="dxa" w:w="5499"/>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Một Booking có thể có nhiều Assignment trong quá trình tìm Driver; cardinality cuối cùng chờ OI-14.</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trip-service</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 Trip Milestone</w:t>
            </w:r>
          </w:p>
        </w:tc>
        <w:tc>
          <w:tcPr>
            <w:tcW w:type="dxa" w:w="5499"/>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 tham chiếu Booking và Driver; quan hệ Booking–Trip chờ OI-14.</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billing-service</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Fare, Payment, Payment Attempt</w:t>
            </w:r>
          </w:p>
        </w:tc>
        <w:tc>
          <w:tcPr>
            <w:tcW w:type="dxa" w:w="5499"/>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Fare và Payment tham chiếu Trip; một Payment có thể có các Attempt theo mô hình kỹ thuật đề xuất.</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notification-service</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Notification, Delivery Result</w:t>
            </w:r>
          </w:p>
        </w:tc>
        <w:tc>
          <w:tcPr>
            <w:tcW w:type="dxa" w:w="5499"/>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Notification tham chiếu business object và recipient; delivery result phụ thuộc khả năng kênh.</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history-rating-service</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Trip History View, Rating</w:t>
            </w:r>
          </w:p>
        </w:tc>
        <w:tc>
          <w:tcPr>
            <w:tcW w:type="dxa" w:w="5499"/>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History là read model từ source event; Rating tham chiếu Trip, Customer và Driver.</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operations-service</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Operational Case, Support Action</w:t>
            </w:r>
          </w:p>
        </w:tc>
        <w:tc>
          <w:tcPr>
            <w:tcW w:type="dxa" w:w="5499"/>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Case tham chiếu đối tượng nghiệp vụ ở service owner.</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reporting-service</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Reporting View, Reporting Period</w:t>
            </w:r>
          </w:p>
        </w:tc>
        <w:tc>
          <w:tcPr>
            <w:tcW w:type="dxa" w:w="5499"/>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Read model từ event có chọn lọc; không sửa dữ liệu nguồn.</w:t>
            </w:r>
          </w:p>
        </w:tc>
      </w:tr>
      <w:tr>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audit-service</w:t>
            </w:r>
          </w:p>
        </w:tc>
        <w:tc>
          <w:tcPr>
            <w:tcW w:type="dxa" w:w="272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Audit Entry</w:t>
            </w:r>
          </w:p>
        </w:tc>
        <w:tc>
          <w:tcPr>
            <w:tcW w:type="dxa" w:w="5499"/>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Entry tham chiếu actor, action, target và correlation ID.</w:t>
            </w:r>
          </w:p>
        </w:tc>
      </w:tr>
    </w:tbl>
    <w:p>
      <w:pPr>
        <w:spacing w:after="20"/>
      </w:pPr>
    </w:p>
    <w:p>
      <w:pPr>
        <w:pStyle w:val="Heading1"/>
        <w:keepNext/>
        <w:spacing w:before="260" w:after="100"/>
      </w:pPr>
      <w:r>
        <w:rPr>
          <w:rFonts w:ascii="Aptos" w:hAnsi="Aptos"/>
          <w:b/>
          <w:color w:val="000000"/>
          <w:sz w:val="30"/>
        </w:rPr>
        <w:t>9. Hợp đồng giao tiếp và nhất quán dữ liệu</w:t>
      </w:r>
    </w:p>
    <w:p>
      <w:pPr>
        <w:pStyle w:val="Heading2"/>
        <w:keepNext/>
        <w:spacing w:before="180" w:after="100"/>
      </w:pPr>
      <w:r>
        <w:rPr>
          <w:rFonts w:ascii="Aptos" w:hAnsi="Aptos"/>
          <w:b/>
          <w:color w:val="000000"/>
          <w:sz w:val="25"/>
        </w:rPr>
        <w:t>9.1. API đồng bộ</w:t>
      </w:r>
    </w:p>
    <w:p>
      <w:pPr>
        <w:spacing w:before="0" w:after="120" w:line="269" w:lineRule="auto"/>
      </w:pPr>
      <w:r>
        <w:rPr>
          <w:rFonts w:ascii="Aptos" w:hAnsi="Aptos"/>
          <w:b w:val="0"/>
          <w:color w:val="000000"/>
          <w:sz w:val="21"/>
        </w:rPr>
        <w:t>API đồng bộ dùng cho command hoặc truy vấn cần kết quả tức thời cho kênh người dùng. API phải xác thực danh tính, kiểm tra quyền trên đối tượng, trả correlation ID và không công khai dữ liệu thuộc quyền sở hữu của service khác nếu không có mục đích nghiệp vụ.</w:t>
      </w:r>
    </w:p>
    <w:p>
      <w:pPr>
        <w:pStyle w:val="Heading2"/>
        <w:keepNext/>
        <w:spacing w:before="180" w:after="100"/>
      </w:pPr>
      <w:r>
        <w:rPr>
          <w:rFonts w:ascii="Aptos" w:hAnsi="Aptos"/>
          <w:b/>
          <w:color w:val="000000"/>
          <w:sz w:val="25"/>
        </w:rPr>
        <w:t>9.2. Giao tiếp bất đồng bộ</w:t>
      </w:r>
    </w:p>
    <w:p>
      <w:pPr>
        <w:spacing w:before="0" w:after="120" w:line="269" w:lineRule="auto"/>
      </w:pPr>
      <w:r>
        <w:rPr>
          <w:rFonts w:ascii="Aptos" w:hAnsi="Aptos"/>
          <w:b w:val="0"/>
          <w:color w:val="000000"/>
          <w:sz w:val="21"/>
        </w:rPr>
        <w:t>Event dùng để phân phối thay đổi đã được ghi nhận tới Notification, History &amp; Rating, Reporting và Audit. Service consumer chỉ cập nhật dữ liệu thuộc sở hữu của mình. Thiết kế triển khai nên có cơ chế phát event bền vững, khử trùng lặp và xử lý lỗi consumer; lựa chọn công nghệ cụ thể là Proposal kỹ thuật.</w:t>
      </w:r>
    </w:p>
    <w:p>
      <w:pPr>
        <w:pStyle w:val="Heading2"/>
        <w:keepNext/>
        <w:spacing w:before="180" w:after="100"/>
      </w:pPr>
      <w:r>
        <w:rPr>
          <w:rFonts w:ascii="Aptos" w:hAnsi="Aptos"/>
          <w:b/>
          <w:color w:val="000000"/>
          <w:sz w:val="25"/>
        </w:rPr>
        <w:t>9.3. Luồng nghiệp vụ liên service</w:t>
      </w:r>
    </w:p>
    <w:p>
      <w:pPr>
        <w:spacing w:before="0" w:after="120" w:line="269" w:lineRule="auto"/>
      </w:pPr>
      <w:r>
        <w:rPr>
          <w:rFonts w:ascii="Aptos" w:hAnsi="Aptos"/>
          <w:b/>
          <w:color w:val="000000"/>
          <w:sz w:val="21"/>
        </w:rPr>
        <w:t>Booking và điều phối:</w:t>
      </w:r>
      <w:r>
        <w:rPr>
          <w:rFonts w:ascii="Aptos" w:hAnsi="Aptos"/>
          <w:b w:val="0"/>
          <w:color w:val="000000"/>
          <w:sz w:val="21"/>
        </w:rPr>
        <w:t xml:space="preserve"> Customer tạo Booking tại booking-service. Service dùng dữ liệu Driver/Location trong phạm vi cho phép để tìm Driver, phát Assignment và ghi phản hồi. Khi một Driver được gán hợp lệ theo OI-14, booking-service phát booking.driver-assigned; trip-service tạo hoặc liên kết Trip theo quyết định đã duyệt.</w:t>
      </w:r>
    </w:p>
    <w:p>
      <w:pPr>
        <w:spacing w:before="0" w:after="120" w:line="269" w:lineRule="auto"/>
      </w:pPr>
      <w:r>
        <w:rPr>
          <w:rFonts w:ascii="Aptos" w:hAnsi="Aptos"/>
          <w:b/>
          <w:color w:val="000000"/>
          <w:sz w:val="21"/>
        </w:rPr>
        <w:t>Hoàn thành Trip và thanh toán:</w:t>
      </w:r>
      <w:r>
        <w:rPr>
          <w:rFonts w:ascii="Aptos" w:hAnsi="Aptos"/>
          <w:b w:val="0"/>
          <w:color w:val="000000"/>
          <w:sz w:val="21"/>
        </w:rPr>
        <w:t xml:space="preserve"> trip-service lưu mốc hoàn thành trước khi phát trip.completed. billing-service xác định Fare theo quy tắc được duyệt, sau đó xử lý Payment. Kết quả Payment chỉ được công bố sau khi ghi nhận và đối chiếu; trạng thái Trip không tự đảo vì lỗi cước/thanh toán khi chưa có quy tắc được chốt.</w:t>
      </w:r>
    </w:p>
    <w:p>
      <w:pPr>
        <w:spacing w:before="0" w:after="120" w:line="269" w:lineRule="auto"/>
      </w:pPr>
      <w:r>
        <w:rPr>
          <w:rFonts w:ascii="Aptos" w:hAnsi="Aptos"/>
          <w:b/>
          <w:color w:val="000000"/>
          <w:sz w:val="21"/>
        </w:rPr>
        <w:t>Thông báo và read model:</w:t>
      </w:r>
      <w:r>
        <w:rPr>
          <w:rFonts w:ascii="Aptos" w:hAnsi="Aptos"/>
          <w:b w:val="0"/>
          <w:color w:val="000000"/>
          <w:sz w:val="21"/>
        </w:rPr>
        <w:t xml:space="preserve"> notification-service, history-rating-service và reporting-service nhận event sau thay đổi nghiệp vụ. Lỗi gửi thông báo không được làm mất thay đổi Booking/Trip đã lưu; hành vi retry và thông báo thất bại chờ OI-12.</w:t>
      </w:r>
    </w:p>
    <w:p>
      <w:pPr>
        <w:pStyle w:val="Heading1"/>
        <w:keepNext/>
        <w:spacing w:before="260" w:after="100"/>
      </w:pPr>
      <w:r>
        <w:rPr>
          <w:rFonts w:ascii="Aptos" w:hAnsi="Aptos"/>
          <w:b/>
          <w:color w:val="000000"/>
          <w:sz w:val="30"/>
        </w:rPr>
        <w:t>10. Bảo mật, vận hành và khả năng phục hồi</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38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Chủ đề</w:t>
            </w:r>
          </w:p>
        </w:tc>
        <w:tc>
          <w:tcPr>
            <w:tcW w:type="dxa" w:w="754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Thiết kế đề xuất</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Phân quyền</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Gateway và service owner cùng kiểm tra. Permission matrix và thao tác nhạy cảm chờ OI-08.</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Dữ liệu thanh toán</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Không lưu trực tiếp dữ liệu nhạy cảm của thẻ/tài khoản; callback Provider phải được xác thực theo hợp đồng được duyệt.</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Tính nhất quán</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Service owner ghi dữ liệu trước khi công bố event; dùng correlation ID và version để truy vết/xử lý cập nhật cạnh tranh.</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Idempotency</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Command hoặc callback có thể lặp phải được nhận diện bằng key/reference phù hợp; chính sách retry nghiệp vụ không tự suy diễn.</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Khả năng phục hồi</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Theo dõi event backlog, lỗi tích hợp, giao dịch chưa rõ kết quả và lỗi Notification. Mục tiêu tải/sẵn sàng/phục hồi chờ OI-13.</w:t>
            </w:r>
          </w:p>
        </w:tc>
      </w:tr>
      <w:tr>
        <w:tc>
          <w:tcPr>
            <w:tcW w:type="dxa" w:w="238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Lưu trữ và audit</w:t>
            </w:r>
          </w:p>
        </w:tc>
        <w:tc>
          <w:tcPr>
            <w:tcW w:type="dxa" w:w="754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Thời hạn lưu vị trí, lịch sử, Payment và audit chờ OI-06; audit không ghi credential hoặc dữ liệu thanh toán nhạy cảm.</w:t>
            </w:r>
          </w:p>
        </w:tc>
      </w:tr>
    </w:tbl>
    <w:p>
      <w:pPr>
        <w:spacing w:after="20"/>
      </w:pPr>
    </w:p>
    <w:p>
      <w:pPr>
        <w:pStyle w:val="Heading1"/>
        <w:keepNext/>
        <w:spacing w:before="260" w:after="100"/>
      </w:pPr>
      <w:r>
        <w:rPr>
          <w:rFonts w:ascii="Aptos" w:hAnsi="Aptos"/>
          <w:b/>
          <w:color w:val="000000"/>
          <w:sz w:val="30"/>
        </w:rPr>
        <w:t>11. Quyết định cần có trước khi triển khai</w:t>
      </w:r>
    </w:p>
    <w:tbl>
      <w:tblPr>
        <w:tblW w:type="auto" w:w="0"/>
        <w:jc w:val="center"/>
        <w:tblLayout w:type="fixed"/>
        <w:tblLook w:firstColumn="1" w:firstRow="1" w:lastColumn="0" w:lastRow="0" w:noHBand="0" w:noVBand="1" w:val="04A0"/>
      </w:tblPr>
      <w:tblGrid>
        <w:gridCol w:w="3532"/>
        <w:gridCol w:w="3532"/>
        <w:gridCol w:w="3532"/>
      </w:tblGrid>
      <w:tr>
        <w:trPr>
          <w:tblHeader w:val="true"/>
        </w:trPr>
        <w:tc>
          <w:tcPr>
            <w:tcW w:type="dxa" w:w="2835"/>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Nhóm quyết định</w:t>
            </w:r>
          </w:p>
        </w:tc>
        <w:tc>
          <w:tcPr>
            <w:tcW w:type="dxa" w:w="1701"/>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Open Issue</w:t>
            </w:r>
          </w:p>
        </w:tc>
        <w:tc>
          <w:tcPr>
            <w:tcW w:type="dxa" w:w="5386"/>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Ảnh hưởng thiết kế</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Vòng đời Booking, Trip và Driver</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OI-14</w:t>
            </w:r>
          </w:p>
        </w:tc>
        <w:tc>
          <w:tcPr>
            <w:tcW w:type="dxa" w:w="538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Aggregate, event, command và read model.</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Điều phối Driver và phản hồi</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OI-02, OI-03</w:t>
            </w:r>
          </w:p>
        </w:tc>
        <w:tc>
          <w:tcPr>
            <w:tcW w:type="dxa" w:w="538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Thuật toán Dispatch, Assignment và xử lý cạnh tranh.</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Cước, loại dịch vụ và thanh toán</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OI-01, OI-07, OI-15, OI-17</w:t>
            </w:r>
          </w:p>
        </w:tc>
        <w:tc>
          <w:tcPr>
            <w:tcW w:type="dxa" w:w="538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billing-service, provider adapter, payment contract.</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Vị trí, offline và retention</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OI-05, OI-06, OI-19</w:t>
            </w:r>
          </w:p>
        </w:tc>
        <w:tc>
          <w:tcPr>
            <w:tcW w:type="dxa" w:w="538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location-service, ETA, đồng bộ và kho dữ liệu.</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Quyền và đầu vào tài khoản</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OI-08, OI-18, OI-20</w:t>
            </w:r>
          </w:p>
        </w:tc>
        <w:tc>
          <w:tcPr>
            <w:tcW w:type="dxa" w:w="538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identity-service, operations-service và API contract.</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Thông báo, báo cáo và chất lượng</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OI-09, OI-12, OI-13</w:t>
            </w:r>
          </w:p>
        </w:tc>
        <w:tc>
          <w:tcPr>
            <w:tcW w:type="dxa" w:w="538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adapter kênh, reporting model, vận hành.</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Rating, audit và giao diện</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OI-10, OI-16, OI-21</w:t>
            </w:r>
          </w:p>
        </w:tc>
        <w:tc>
          <w:tcPr>
            <w:tcW w:type="dxa" w:w="538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history-rating-service, audit-service và API/channel.</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Phạm vi release đầu tiên</w:t>
            </w:r>
          </w:p>
        </w:tc>
        <w:tc>
          <w:tcPr>
            <w:tcW w:type="dxa" w:w="1701"/>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OI-11</w:t>
            </w:r>
          </w:p>
        </w:tc>
        <w:tc>
          <w:tcPr>
            <w:tcW w:type="dxa" w:w="5386"/>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Phân kỳ triển khai và quyết định tách/gộp service.</w:t>
            </w:r>
          </w:p>
        </w:tc>
      </w:tr>
    </w:tbl>
    <w:p>
      <w:pPr>
        <w:spacing w:after="20"/>
      </w:pPr>
    </w:p>
    <w:p>
      <w:pPr>
        <w:pStyle w:val="Heading1"/>
        <w:keepNext/>
        <w:spacing w:before="260" w:after="100"/>
      </w:pPr>
      <w:r>
        <w:rPr>
          <w:rFonts w:ascii="Aptos" w:hAnsi="Aptos"/>
          <w:b/>
          <w:color w:val="000000"/>
          <w:sz w:val="30"/>
        </w:rPr>
        <w:t>12. Truy vết thiết kế về SRS</w:t>
      </w:r>
    </w:p>
    <w:tbl>
      <w:tblPr>
        <w:tblW w:type="auto" w:w="0"/>
        <w:jc w:val="center"/>
        <w:tblLayout w:type="fixed"/>
        <w:tblLook w:firstColumn="1" w:firstRow="1" w:lastColumn="0" w:lastRow="0" w:noHBand="0" w:noVBand="1" w:val="04A0"/>
      </w:tblPr>
      <w:tblGrid>
        <w:gridCol w:w="5298"/>
        <w:gridCol w:w="5298"/>
      </w:tblGrid>
      <w:tr>
        <w:trPr>
          <w:tblHeader w:val="true"/>
        </w:trPr>
        <w:tc>
          <w:tcPr>
            <w:tcW w:type="dxa" w:w="2835"/>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Nhóm yêu cầu SRS</w:t>
            </w:r>
          </w:p>
        </w:tc>
        <w:tc>
          <w:tcPr>
            <w:tcW w:type="dxa" w:w="7087"/>
            <w:shd w:fill="1F4E78"/>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jc w:val="center"/>
            </w:pPr>
            <w:r>
              <w:rPr>
                <w:rFonts w:ascii="Aptos" w:hAnsi="Aptos"/>
                <w:b w:val="0"/>
                <w:color w:val="FFFFFF"/>
                <w:sz w:val="16"/>
              </w:rPr>
              <w:t>Context/Service thực hiện</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FR-01–FR-03, FR-56–FR-57</w:t>
            </w:r>
          </w:p>
        </w:tc>
        <w:tc>
          <w:tcPr>
            <w:tcW w:type="dxa" w:w="708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Identity &amp; Access, Customer Profile</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FR-04–FR-10, FR-44–FR-45, FR-48</w:t>
            </w:r>
          </w:p>
        </w:tc>
        <w:tc>
          <w:tcPr>
            <w:tcW w:type="dxa" w:w="708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Driver Management, Location</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FR-11–FR-22</w:t>
            </w:r>
          </w:p>
        </w:tc>
        <w:tc>
          <w:tcPr>
            <w:tcW w:type="dxa" w:w="708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Booking &amp; Dispatch, Location, Notification</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FR-23–FR-27, FR-46–FR-47</w:t>
            </w:r>
          </w:p>
        </w:tc>
        <w:tc>
          <w:tcPr>
            <w:tcW w:type="dxa" w:w="708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Trip Management, Operations</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FR-28–FR-34, FR-50</w:t>
            </w:r>
          </w:p>
        </w:tc>
        <w:tc>
          <w:tcPr>
            <w:tcW w:type="dxa" w:w="708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Fare &amp; Payment, Operations, Notification</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FR-35–FR-40</w:t>
            </w:r>
          </w:p>
        </w:tc>
        <w:tc>
          <w:tcPr>
            <w:tcW w:type="dxa" w:w="708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Notification cùng service owner phát sự kiện</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FR-41–FR-42</w:t>
            </w:r>
          </w:p>
        </w:tc>
        <w:tc>
          <w:tcPr>
            <w:tcW w:type="dxa" w:w="708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History &amp; Rating</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FR-43–FR-49</w:t>
            </w:r>
          </w:p>
        </w:tc>
        <w:tc>
          <w:tcPr>
            <w:tcW w:type="dxa" w:w="708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Operations cùng các service owner</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jc w:val="left"/>
            </w:pPr>
            <w:r>
              <w:rPr>
                <w:rFonts w:ascii="Aptos" w:hAnsi="Aptos"/>
                <w:b w:val="0"/>
                <w:color w:val="000000"/>
                <w:sz w:val="16"/>
              </w:rPr>
              <w:t>FR-51–FR-55</w:t>
            </w:r>
          </w:p>
        </w:tc>
        <w:tc>
          <w:tcPr>
            <w:tcW w:type="dxa" w:w="708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tcPr>
          <w:p>
            <w:pPr>
              <w:spacing w:after="0" w:line="245" w:lineRule="auto"/>
            </w:pPr>
            <w:r>
              <w:rPr>
                <w:rFonts w:ascii="Aptos" w:hAnsi="Aptos"/>
                <w:b w:val="0"/>
                <w:color w:val="000000"/>
                <w:sz w:val="16"/>
              </w:rPr>
              <w:t>Reporting</w:t>
            </w:r>
          </w:p>
        </w:tc>
      </w:tr>
      <w:tr>
        <w:tc>
          <w:tcPr>
            <w:tcW w:type="dxa" w:w="2835"/>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jc w:val="left"/>
            </w:pPr>
            <w:r>
              <w:rPr>
                <w:rFonts w:ascii="Aptos" w:hAnsi="Aptos"/>
                <w:b w:val="0"/>
                <w:color w:val="000000"/>
                <w:sz w:val="16"/>
              </w:rPr>
              <w:t>FR-58</w:t>
            </w:r>
          </w:p>
        </w:tc>
        <w:tc>
          <w:tcPr>
            <w:tcW w:type="dxa" w:w="7087"/>
            <w:tcBorders>
              <w:top w:val="single" w:sz="4" w:color="D9D9D9"/>
              <w:left w:val="single" w:sz="4" w:color="D9D9D9"/>
              <w:bottom w:val="single" w:sz="4" w:color="D9D9D9"/>
              <w:right w:val="single" w:sz="4" w:color="D9D9D9"/>
              <w:insideH w:val="single" w:sz="4" w:color="D9D9D9"/>
              <w:insideV w:val="single" w:sz="4" w:color="D9D9D9"/>
            </w:tcBorders>
            <w:tcMar>
              <w:top w:w="90" w:type="dxa"/>
              <w:start w:w="95" w:type="dxa"/>
              <w:bottom w:w="90" w:type="dxa"/>
              <w:end w:w="95" w:type="dxa"/>
            </w:tcMar>
            <w:vAlign w:val="center"/>
            <w:shd w:fill="EAF2F8"/>
          </w:tcPr>
          <w:p>
            <w:pPr>
              <w:spacing w:after="0" w:line="245" w:lineRule="auto"/>
            </w:pPr>
            <w:r>
              <w:rPr>
                <w:rFonts w:ascii="Aptos" w:hAnsi="Aptos"/>
                <w:b w:val="0"/>
                <w:color w:val="000000"/>
                <w:sz w:val="16"/>
              </w:rPr>
              <w:t>Audit cùng các service owner</w:t>
            </w:r>
          </w:p>
        </w:tc>
      </w:tr>
    </w:tbl>
    <w:p>
      <w:pPr>
        <w:spacing w:after="20"/>
      </w:pPr>
    </w:p>
    <w:sectPr w:rsidR="00FC693F" w:rsidRPr="0006063C" w:rsidSect="00034616">
      <w:headerReference w:type="default" r:id="rId9"/>
      <w:footerReference w:type="default" r:id="rId10"/>
      <w:pgSz w:w="12240" w:h="15840"/>
      <w:pgMar w:top="964" w:right="822" w:bottom="879"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ptos" w:hAnsi="Aptos"/>
        <w:b w:val="0"/>
        <w:color w:val="000000"/>
        <w:sz w:val="17"/>
      </w:rPr>
      <w:t>Dự thảo để review  |  Dựa trên SRS v1.4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ptos" w:hAnsi="Aptos"/>
        <w:b w:val="0"/>
        <w:color w:val="000000"/>
        <w:sz w:val="17"/>
      </w:rPr>
      <w:t>CAB System  |  Thiết kế microservice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microservice CAB System</dc:title>
  <dc:subject>Thiết kế microservice dựa trên SRS v1.4</dc:subject>
  <dc:creator>CAB System</dc:creator>
  <cp:keywords/>
  <dc:description>Dự thảo để review</dc:description>
  <cp:lastModifiedBy/>
  <cp:revision>1</cp:revision>
  <dcterms:created xsi:type="dcterms:W3CDTF">2013-12-23T23:15:00Z</dcterms:created>
  <dcterms:modified xsi:type="dcterms:W3CDTF">2013-12-23T23:15:00Z</dcterms:modified>
  <cp:category/>
</cp:coreProperties>
</file>