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26"/>
        </w:rPr>
        <w:t>COVER LETTER / RESPONSE TO REVIEWERS — MAJOR REVISION</w:t>
      </w:r>
    </w:p>
    <w:p>
      <w:r>
        <w:t>October 24, 2026</w:t>
        <w:br/>
        <w:br/>
        <w:t>To the Editorial Board,</w:t>
        <w:br/>
        <w:t>Subject: Submission of Major Revision for Manuscript</w:t>
        <w:br/>
        <w:t>Title: In Silico Evaluation of 4D-CT Lung Tumor Kinematics, Target Margin Strategies, and Coverage Robustness Under Respiratory Variations and Setup Uncertainties</w:t>
      </w:r>
    </w:p>
    <w:p>
      <w:r>
        <w:t>Dear Editor and Reviewers,</w:t>
        <w:br/>
        <w:br/>
        <w:t>Thank you for the rigorous, insightful, and constructive critique of our manuscript. In this comprehensive revision, we have substantially restructured both our simulation architecture and manuscript narrative, resolving all highlighted methodological, mathematical, and algorithmic concerns. Specifically, we have implemented the following core enhancements:</w:t>
        <w:br/>
        <w:br/>
        <w:t>1. Corrected Respiratory Kinematic Model: Standardized the 4D-CT phase binning to an asymmetric 60:40 cycle where T0 represents Peak Inhalation (maximal displacement), T0-&gt;T6 spans the 60% exhalation phase, T6 serves as the true End-Exhalation reference phase (displacement = 0.0 mm), and T6-&gt;T0 represents the 40% active inhalation phase, eliminating prior phase-label ambiguity.</w:t>
        <w:br/>
        <w:br/>
        <w:t>2. Independent Planning vs. Testing Evaluation Framework: To resolve the ITV tautology critique, planning target volumes (Isotropic, ITV, Anisotropic) are now frozen from the regular 4D-CT acquisition and independently evaluated across N=5,000 unseen Monte Carlo respiration cycles with baseline drift, cycle jitter, and amplitude stress testing.</w:t>
        <w:br/>
        <w:br/>
        <w:t>3. Population Setup Uncertainty Simulation: Modeled combined respiratory motion and setup uncertainty across 50 virtual patients and 30 fractions (1,500 treatment sessions) incorporating independent systematic (Sigma=2.0 mm) and random (sigma=2.0 mm) errors.</w:t>
        <w:br/>
        <w:br/>
        <w:t>4. Alignment with AAPM TG-324 Report 91.b (2026): Incorporated ITV margins of 4 mm and 5 mm as recommended by TG-324, demonstrating empirically that while ITV+3mm fails under setup uncertainty (56.5% pass rate), ITV+5mm restores robust coverage (86.5% pass rate).</w:t>
        <w:br/>
        <w:br/>
        <w:t>5. Multi-Lesion Sensitivity Analysis: Evaluated tracking accuracy across small (r=8 mm), nominal (r=12 mm), and large (r=16 mm) lesions.</w:t>
        <w:br/>
        <w:br/>
        <w:t>6. Methodological Rigor &amp; Data Integrity: Clarified the geometric surrogate nature of the 95% threshold distinct from ICRU dosimetric D95%, corrected Figure 3 to display true per-phase dynamic curves, and updated the Data Availability statement with transparent GitHub repository access.</w:t>
        <w:br/>
        <w:br/>
        <w:t>We believe these major enhancements elevate the manuscript into a rigorous, clinically relevant contribution. We look forward to your reconsideration.</w:t>
        <w:br/>
        <w:br/>
        <w:t>Sincerely,</w:t>
        <w:br/>
        <w:br/>
        <w:t>Vu Minh Anh, B.S.</w:t>
        <w:br/>
        <w:t>Faculty of Information Technology</w:t>
        <w:br/>
        <w:t>Ho Chi Minh City University of Industry and Trade (HUIT)</w:t>
        <w:br/>
        <w:t>Email: anhvm@huit.edu.vn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