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COVER LETTER &amp; RESPONSE TO PEER REVIEWERS (REVISION 3.2)</w:t>
      </w:r>
    </w:p>
    <w:p>
      <w:r>
        <w:t>To: Editors-in-Chief &amp; Reviewers</w:t>
        <w:br/>
        <w:t>Subject: Submission of Revised Manuscript (Revision 3.2)</w:t>
        <w:br/>
        <w:t>Title: In Silico Evaluation of 4D-CT Lung Tumor Kinematics, Target Margin Strategies, and Coverage Robustness Under Respiratory Variations and Setup Uncertainties</w:t>
        <w:br/>
        <w:t>Author: Vu Minh Anh, B.S. (Ho Chi Minh City University of Industry and Trade - HUIT)</w:t>
        <w:br/>
        <w:t>Correspondence: anhvm@huit.edu.vn | Repository: https://github.com/anhvu7123/4d-ct-lung-motion</w:t>
        <w:br/>
      </w:r>
    </w:p>
    <w:p>
      <w:r>
        <w:t>Dear Editors and Reviewers,</w:t>
        <w:br/>
        <w:br/>
        <w:t>We sincerely thank the reviewer for the exceptionally thorough, insightful, and constructive critique. In Revision 3.2, we have implemented all recommended corrections:</w:t>
        <w:br/>
        <w:br/>
        <w:t>1. Exact van Herk Formulation: Corrected the definition of sigma_motion to the sample standard deviation (RMS displacement around time-averaged position) across the 10 sampled phases: sigma_{motion,k} = sqrt((1/N) sum (r_k(t) - r_bar_k)^2), resolving the discrepancy with Table 1 (Mz = 8.37 mm ~ 8.4 mm) and emphasizing its role as a theoretical benchmark.</w:t>
        <w:br/>
        <w:t>2. Explicit Anisotropic Mid-pos Formula: Clearly differentiated the practical clinical Mid-pos ellipsoid expansion (R_k = R_tumor + A_k/2 + M_setup) which yields the 19.3 cc volume (-6.3% vs. baseline) from the van Herk benchmark (29.4 cc).</w:t>
        <w:br/>
        <w:t>3. Target Volume Terminology: Explicitly defined IGTV vs. ITV according to AAPM TG-324 Report 91.b and ICRU Report 62.</w:t>
        <w:br/>
        <w:t>4. Nuanced Clinical Framing: Reframed TG-324 4-5 mm as a commonly utilized clinical baseline rather than mandatory prescription, and described volume reduction as a geometric surrogate for normal tissue sparing.</w:t>
        <w:br/>
        <w:t>5. Word Formatting &amp; Navigation: Applied genuine Word Heading Styles (Heading 1, Heading 2), added cantSplit to all table rows, tblHeader to repeat headers, clean page breaks for Table 3 and 4, and resolved label crowding in Figure 4.</w:t>
        <w:br/>
        <w:t>6. Official Reference Metadata: Fully updated Wolthaus (2008) and Rietzel (2005) with complete official titles and authors from PubMed.</w:t>
        <w:br/>
        <w:br/>
        <w:t>Sincerely,</w:t>
        <w:br/>
        <w:t>Vu Minh Anh, B.S.</w:t>
        <w:br/>
        <w:t>Faculty of Information Technology, HUIT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