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spacing w:before="240" w:after="60"/>
      </w:pPr>
      <w:r>
        <w:rPr>
          <w:b/>
          <w:color w:val="1E3A8A"/>
          <w:sz w:val="25"/>
        </w:rPr>
        <w:t>Abstract</w:t>
      </w:r>
    </w:p>
    <w:p>
      <w:r>
        <w:t>Background: Accurate management of respiratory motion remains a critical challenge in stereotactic body radiation therapy (SBRT) for lung cancer. Conventional static 3D-CT expansions frequently either underdose moving tumors or unnecessarily irradiate healthy lung parenchyma. This study presents a comprehensive in silico framework evaluating 4D-CT respiratory kinematics, internal target volume (ITV) expansions, and anisotropic margins, with rigorous robustness testing under unseen breathing cycles and multi-regimen setup uncertainties (SBRT 3-fraction, SBRT 5-fraction, and conventional 30-fraction courses across 200 virtual patients).</w:t>
        <w:br/>
        <w:br/>
        <w:t>Methods: A 10-phase synthetic thorax phantom was constructed incorporating an asymmetric 60:40 breathing cycle (60% exhalation duration across T0-&gt;T6; 40% active inhalation across T6-&gt;T0; T6 designated as end-exhalation reference) with Lujan n=2 resting dwell and 36-degree AP/LR phase-lag hysteresis. Three lesion sizes (r = 8, 12, 16 mm) and three motion profiles were evaluated: regular (SI = 12.0 mm), deep (SI = 22.0 mm), and irregular respiration with baseline drift. An automated 5-step spatial-moment algorithm tracked 3D tumor centroids against ground truth. Frozen planning PTVs (Isotropic 2-12 mm, ITV + 0-5 mm, and mid-position Anisotropic 2-4 mm) were benchmarked on planning 4D-CT, tested across N=5,000 independent unseen cycles (Monte Carlo with 95% Wilson score confidence intervals for pass rates and empirical inter-percentile ranges for coverage ratios), and evaluated under combined breathing and setup uncertainties across 200 virtual patients (total 7,600 treatment sessions with 2 mm systematic and 2 mm random errors), aligned with AAPM Task Group 324 Report 91.b guidelines.</w:t>
        <w:br/>
        <w:br/>
        <w:t>Results: Automated centroid tracking demonstrated high spatial fidelity, achieving 3D mean absolute errors (MAE) of 0.058 mm, 0.034 mm, and 0.021 mm for 8 mm, 12 mm, and 16 mm tumors, respectively. On planning 4D-CT, conventional 5 mm isotropic expansion achieved only 64.7% minimum coverage ratio (CR), failing the study-defined 95% surrogate threshold. Both ITV + 3 mm (23.9 cc) and Anisotropic Mid-position + 2 mm (19.3 cc, -6.3% volume vs. 5 mm isotropic baseline) achieved complete planning coverage (100.0% and 99.4%, respectively). Under unseen irregular breathing with baseline drift (N=5,000), ITV + 3 mm pass rate dropped to 68.3% (95% Wilson CI: [67.0%, 69.5%]; mean min CR: 96.0%, 95% empirical range: [82.8%, 100.0%]), whereas ITV + 5 mm maintained a 96.2% pass rate (95% Wilson CI: [95.7%, 96.7%]; mean min CR: 99.2%, 95% empirical range: [94.7%, 100.0%]). Under combined respiration and setup uncertainty across 200 virtual patients, tight margins proved severely inadequate in hypofractionated SBRT: for 5-fraction SBRT, ITV + 3 mm yielded only 6.0% patient all-fraction success (95% Wilson CI: [3.5%, 10.2%]), whereas ITV + 5 mm restored all-fraction success to 53.0% (95% Wilson CI: [46.1%, 59.8%]; and 66.0% in 3-fraction SBRT). In 30-fraction conventional therapy, ITV + 5 mm achieved an 82.7% fraction pass rate (95% Wilson CI: [81.7%, 83.7%]). Multi-lesion evaluation demonstrated that small lesions (r=8 mm, 2.1 cc) suffer disproportionate edge undercoverage (SBRT 5-fx all-pass of only 0.5% for ITV+3mm and 29.5% for ITV+5mm).</w:t>
        <w:br/>
        <w:br/>
        <w:t>Conclusions: While expanding the ITV setup margin to 4–5 mm substantially improved geometric robustness compared to tight 3 mm expansions, it did not eliminate undercoverage: 17.3% of treatment fractions in conventional radiotherapy and 47.0% of patients in 5-fraction SBRT experienced geometric undercoverage without daily correction. In concordance with AAPM TG-324 Report 91.b, an ITV setup margin of 4–5 mm serves as a commonly utilized clinical baseline for free-breathing lung SBRT, yet remains vulnerable unless coupled with daily volumetric image guidance (CBCT) or active respiratory motion management.</w:t>
      </w:r>
    </w:p>
    <w:p>
      <w:r>
        <w:rPr>
          <w:b/>
        </w:rPr>
        <w:t xml:space="preserve">Keywords: </w:t>
      </w:r>
      <w:r>
        <w:t>4D-CT, Respiratory Motion Modeling, Internal Target Volume (ITV), Setup Uncertainty, SBRT Fractionation, AAPM TG-324, Monte Carlo Simulation, PTV Margin Optimization.</w:t>
      </w:r>
    </w:p>
    <w:p>
      <w:pPr>
        <w:spacing w:before="240" w:after="60"/>
      </w:pPr>
      <w:r>
        <w:rPr>
          <w:b/>
          <w:color w:val="1E3A8A"/>
          <w:sz w:val="25"/>
        </w:rPr>
        <w:t>1. Introduction</w:t>
      </w:r>
    </w:p>
    <w:p>
      <w:r>
        <w:t>Radiation therapy for non-small cell lung cancer (NSCLC) presents a delicate balance between maximizing tumoricidal dose delivery and sparing surrounding functional lung parenchyma, cardiac substructures, and the spinal cord. Intra-fraction respiratory motion causes tumors in the middle and lower lung lobes to undergo complex, three-dimensional excursions ranging from 5 to over 25 mm, predominantly in the superior-inferior (SI) direction [1]. Conventional planning relying on static 3D-CT scans captures an arbitrary snapshot of the respiratory cycle, commonly resulting in severe geographic tumor miss or necessitating excessively large isotropic margins (10-15 mm) that elevate normal tissue complication probabilities (NTCP), particularly radiation pneumonitis [1, 3].</w:t>
      </w:r>
    </w:p>
    <w:p>
      <w:r>
        <w:t>Four-dimensional computed tomography (4D-CT) has emerged as the standard of care for accounting for respiratory kinematics by binning projection data into 8 to 10 discrete respiratory phases [8, 12, 13]. From these images, two primary motion management strategies are widely adopted: (1) the Internal Target Volume (ITV) approach, defined as the union envelope of the Gross Tumor Volume (GTV) across all respiratory phases expanded by a setup margin [8], and (2) mid-position or anisotropic margins that adjust expansion distances based on principal motion amplitudes [9, 10]. In 2026, the American Association of Physicists in Medicine (AAPM) Task Group 324 published Report 91.b ('The Management of Respiratory Motion in Radiation Oncology') [2], emphasizing that clinical ITV-to-PTV margins must be carefully calibrated to account for both residual respiratory irregularity and inter-fraction setup uncertainties, typically recommending margins of 4 to 5 mm.</w:t>
      </w:r>
    </w:p>
    <w:p>
      <w:r>
        <w:t>Despite wide clinical adoption, significant questions remain regarding the quantitative robustness of target margin strategies when subjected to unseen breathing patterns, baseline drift, and independent systematic versus random setup errors [4, 14, 15]. Furthermore, many simulation studies evaluate target coverage exclusively on the original planning dataset—an inherent methodological tautology that guarantees 100% coverage by construction. Additionally, the clinical impact of setup errors differs fundamentally between hypofractionated stereotactic body radiation therapy (SBRT, typically 3 to 5 fractions) [18, 19] and conventional fractionated radiotherapy (CFRT, 30 fractions), because day-to-day random errors cannot average out over a small number of fractions [3, 4]. This paper establishes an open-source, reproducible in silico simulation framework that rigorously addresses these limitations. We evaluate an asymmetric 60:40 respiratory cycle, validate automated 3D tracking across multiple lesion sizes, benchmark planning target strategies, and systematically test their robustness under N=5,000 independent Monte Carlo cycles and multi-regimen setup uncertainties across 200 virtual patients (total 7,600 treatment sessions).</w:t>
      </w:r>
    </w:p>
    <w:p>
      <w:pPr>
        <w:spacing w:before="240" w:after="60"/>
      </w:pPr>
      <w:r>
        <w:rPr>
          <w:b/>
          <w:color w:val="1E3A8A"/>
          <w:sz w:val="25"/>
        </w:rPr>
        <w:t>2. Materials and Methods</w:t>
      </w:r>
    </w:p>
    <w:p>
      <w:pPr>
        <w:spacing w:before="160" w:after="40"/>
      </w:pPr>
      <w:r>
        <w:rPr>
          <w:b/>
          <w:color w:val="1E293B"/>
          <w:sz w:val="23"/>
        </w:rPr>
        <w:t>2.1 Anthropomorphic Thorax VOI and Tumor Geometry</w:t>
      </w:r>
    </w:p>
    <w:p>
      <w:r>
        <w:t>A high-resolution synthetic anthropomorphic thorax volume was generated on a Cartesian grid of dimensions nz=70, ny=90, nx=90 with anisotropic voxel spacing of dz=2.0 mm, dy=1.5 mm, dx=1.5 mm, spanning a physical field of view of 140 mm (SI) x 135 mm (AP) x 135 mm (LR). Tissue structures were assigned standard Hounsfield Units (HU): ambient air (-1000 HU), thoracic body contour (+30 HU), thoracic spine (+650 HU), bilateral lung parenchyma (-750 HU), and a solid spherical tumor (+45 HU) implanted in the right lower lobe parenchyma. To evaluate tracking sensitivity to tumor volume, three distinct lesion radii were evaluated: small nodule (r = 8.0 mm, diameter 16 mm, V = 2.14 cc), nominal clinical tumor (r = 12.0 mm, diameter 24 mm, V = 7.24 cc), and large lesion (r = 16.0 mm, diameter 32 mm, V = 17.16 cc).</w:t>
      </w:r>
    </w:p>
    <w:p>
      <w:pPr>
        <w:spacing w:before="160" w:after="40"/>
      </w:pPr>
      <w:r>
        <w:rPr>
          <w:b/>
          <w:color w:val="1E293B"/>
          <w:sz w:val="23"/>
        </w:rPr>
        <w:t>2.2 Asymmetric 60:40 Respiratory Kinematics and Reference Phase</w:t>
      </w:r>
    </w:p>
    <w:p>
      <w:r>
        <w:t>Clinical respiratory traces consistently demonstrate temporal asymmetry between inhalation and exhalation, with exhalation occupying approximately 60% of the total cycle duration and exhibiting a prolonged resting plateau at end-exhalation [5, 6]. In standard 4D-CT acquisition protocols, the 10 reconstructed phase bins are indexed from T0 to T9. Here, T0 represents Peak Inhalation (maximal lung inflation and maximal inferior diaphragm excursion). Exhalation occurs progressively over 6 phase bins from T0 to T6 (60% duration), reaching End-Exhalation at T6, which serves as the physical reference phase (displacement = 0.0 mm). Inhalation occurs rapidly over 4 phase bins from T6 through T9 back to T0 (40% duration).</w:t>
      </w:r>
    </w:p>
    <w:p>
      <w:r>
        <w:t>The temporal phase parameter theta(t) is defined piecewise across the 10 phase bins as:</w:t>
        <w:br/>
        <w:t>theta(t) = pi * t / 6.0,  for t in [0, 1, ..., 6]  (Exhalation, 60% duration)</w:t>
        <w:br/>
        <w:t>theta(t) = pi + pi * (t - 6.0) / 4.0,  for t in [7, 8, 9]  (Inhalation, 40% duration)</w:t>
        <w:br/>
        <w:br/>
        <w:t>Superior-inferior (SI) displacement is governed by a modified Lujan power model with power exponent n=2 [5]:</w:t>
        <w:br/>
        <w:t>z(t) = z_0 - A_z * cos^4(theta(t) / 2.0)</w:t>
        <w:br/>
        <w:br/>
        <w:t>where z_0 is the end-exhalation baseline position, A_z is the peak-to-peak SI motion amplitude, z(0) = z_0 - A_z corresponds to Peak Inhalation at T0, and z(6) = z_0 corresponds to End-Exhalation at T6.</w:t>
        <w:br/>
        <w:br/>
        <w:t>Three-dimensional hysteresis is modeled by applying a phase lag phi = pi/5 (36 degrees) [6] to the anterior-posterior (AP) and lateral (LR) motion components:</w:t>
        <w:br/>
        <w:t>theta_lag(t) = (theta(t) - phi) mod 2*pi</w:t>
        <w:br/>
        <w:t>x(t) = x_0 + A_x * sin(theta(t))</w:t>
        <w:br/>
        <w:t>y(t) = y_0 + A_y * sin(theta_lag(t))</w:t>
        <w:br/>
        <w:br/>
        <w:t>Displacements are scaled to three clinical scenarios: (1) Regular respiration (SI=12.0 mm, AP=3.5 mm, LR=1.2 mm), (2) Deep respiration (SI=22.0 mm, AP=6.0 mm, LR=2.0 mm), and (3) Irregular respiration with stochastic baseline drift.</w:t>
      </w:r>
    </w:p>
    <w:p>
      <w:pPr>
        <w:spacing w:before="160" w:after="40"/>
      </w:pPr>
      <w:r>
        <w:rPr>
          <w:b/>
          <w:color w:val="1E293B"/>
          <w:sz w:val="23"/>
        </w:rPr>
        <w:t>2.3 Automated Segmentation and Spatial-Moment Centroid Tracking</w:t>
      </w:r>
    </w:p>
    <w:p>
      <w:r>
        <w:t>To replicate clinical CT contouring workflows, an automated 5-step image processing pipeline was implemented:</w:t>
        <w:br/>
        <w:t>1. Body contour thresholding (HU &gt; -500) and binary hole filling.</w:t>
        <w:br/>
        <w:t>2. Lung parenchyma windowing within the body boundary ([-1000, -500] HU).</w:t>
        <w:br/>
        <w:t>3. Morphological hole filling to encapsulate internal parenchymal lesions and pulmonary vasculature.</w:t>
        <w:br/>
        <w:t>4. Solid lesion intensity isolation ([-300, +150] HU).</w:t>
        <w:br/>
        <w:t>5. Sub-voxel center-of-mass extraction via spatial intensity moments: com_k = sum(k * I(k)) / sum(I(k)).</w:t>
        <w:br/>
        <w:t>Tracking accuracy was validated by computing the 3D Mean Absolute Error (MAE) against analytical ground truth centroids.</w:t>
      </w:r>
    </w:p>
    <w:p>
      <w:pPr>
        <w:spacing w:before="160" w:after="40"/>
      </w:pPr>
      <w:r>
        <w:rPr>
          <w:b/>
          <w:color w:val="1E293B"/>
          <w:sz w:val="23"/>
        </w:rPr>
        <w:t>2.4 Target Volume Strategies and Geometric Evaluation Criteria</w:t>
      </w:r>
    </w:p>
    <w:p>
      <w:r>
        <w:t>Planning Target Volumes were constructed on the regular breathing 4D-CT dataset and frozen for subsequent robustness testing:</w:t>
        <w:br/>
        <w:t>1. Isotropic PTV: Uniform surface expansion of the end-exhalation GTV (T6) by margins of 2, 3, 5, 8, 10, and 12 mm.</w:t>
        <w:br/>
        <w:t>2. Internal Target Volume (ITV): Formed by the boolean union of all 10 GTV phases, expanded by setup margins of 0, 2, 3, 4, and 5 mm. Margins of 4 and 5 mm were included specifically to evaluate the recommendations of AAPM Task Group 324 [2].</w:t>
        <w:br/>
        <w:t>3. Anisotropic PTV: Formed around the mid-position centroid c_mid = (1/10) * sum_{t=0}^9 c(t) [9, 10] with semi-axes R_k = r_0 + (p2p_k / 2.0) + m_setup, with setup margins of 2, 3, and 4 mm, defining an analytical ellipsoid on the discrete voxel grid.</w:t>
      </w:r>
    </w:p>
    <w:p>
      <w:pPr>
        <w:spacing w:before="80" w:after="120"/>
        <w:ind w:left="360" w:right="360"/>
      </w:pPr>
      <w:r>
        <w:rPr>
          <w:b/>
          <w:color w:val="2563EB"/>
        </w:rPr>
        <w:t xml:space="preserve">[TERMINOLOGY &amp; DOSIMETRIC SURROGATE DISCLAIMER] </w:t>
      </w:r>
      <w:r>
        <w:rPr>
          <w:i/>
        </w:rPr>
        <w:t>A study-defined geometric coverage threshold of Coverage Ratio (CR) &gt;= 95% was adopted as a surrogate evaluation criterion, analogous to the ICRU 83 recommendation of D95% &gt;= 95% for dosimetric coverage [7], but applied here strictly to 3D spatial overlap rather than absorbed physical dose.</w:t>
      </w:r>
    </w:p>
    <w:p>
      <w:pPr>
        <w:spacing w:before="160" w:after="40"/>
      </w:pPr>
      <w:r>
        <w:rPr>
          <w:b/>
          <w:color w:val="1E293B"/>
          <w:sz w:val="23"/>
        </w:rPr>
        <w:t>2.5 Independent Robustness Simulation Framework (N=5,000 Unseen Cycles)</w:t>
      </w:r>
    </w:p>
    <w:p>
      <w:r>
        <w:t>To overcome the tautology of evaluating target coverage on the identical 10 phases used to define the ITV, frozen PTVs were subjected to independent Monte Carlo stress tests across N=5,000 unseen cycles:</w:t>
        <w:br/>
        <w:t>- Test A (Regular Unseen Respiration): N=5,000 cycles with normally distributed tidal amplitude (A_z ~ N(12.0, 1.0^2) mm), random baseline drift (delta_z ~ N(0, 0.4^2), delta_y ~ N(0, 0.2^2), delta_x ~ N(0, 0.1^2) mm), and phase jitter (epsilon ~ N(0, 0.2^2) mm).</w:t>
        <w:br/>
        <w:t>- Test B (Irregular Respiration with Drift): N=5,000 cycles with elevated amplitude (A_z ~ N(14.5, 1.5^2) mm), significant baseline drift (delta_z ~ N(0, 1.5^2), delta_y ~ N(0, 0.6^2), delta_x ~ N(0, 0.3^2) mm), and inter-cycle jitter (epsilon ~ N(0, 0.5^2) mm).</w:t>
        <w:br/>
        <w:t>- Test C (Amplitude Sensitivity): Motion amplitudes systematically varied from A_z = 10 to 22 mm (500 cycles per level).</w:t>
        <w:br/>
        <w:br/>
        <w:t>Statistical metrics: For binomial pass rates (proportion of cycles achieving minimum CR &gt;= 95%), 95% Wilson score confidence intervals [17] were calculated: w = [p + z^2/(2N) +/- z * sqrt(p(1-p)/N + z^2/(4N^2))] / [1 + z^2/N] with z=1.96. For continuous minimum Coverage Ratios across the 5,000 cycles, the mean, standard deviation, and empirical 95% inter-percentile range [P_2.5, P_97.5] were determined.</w:t>
      </w:r>
    </w:p>
    <w:p>
      <w:pPr>
        <w:spacing w:before="160" w:after="40"/>
      </w:pPr>
      <w:r>
        <w:rPr>
          <w:b/>
          <w:color w:val="1E293B"/>
          <w:sz w:val="23"/>
        </w:rPr>
        <w:t>2.6 Multi-Regimen Setup Uncertainty Modeling Across 200 Virtual Patients</w:t>
      </w:r>
    </w:p>
    <w:p>
      <w:r>
        <w:t>To capture fractionation differences between stereotactic and conventionally fractionated treatments [4, 18, 19], three clinical regimens were simulated across 200 virtual patients (total 7,600 treatment sessions):</w:t>
        <w:br/>
        <w:t>1. SBRT 3-Fraction Course (e.g., 3 x 18-20 Gy): Total 600 treatment sessions.</w:t>
        <w:br/>
        <w:t>2. SBRT 5-Fraction Course (e.g., 5 x 10-12 Gy): Total 1,000 treatment sessions.</w:t>
        <w:br/>
        <w:t>3. CFRT 30-Fraction Course (e.g., 30 x 2 Gy): Total 6,000 treatment sessions.</w:t>
        <w:br/>
        <w:br/>
        <w:t>For each patient i, a 3D systematic preparation error S_i was sampled once from zero-mean Gaussian distributions along each Cartesian axis S_{i,k} ~ N(0, Sigma^2) with Sigma = 2.0 mm and kept constant across all fractions [3, 4]. For each fraction f of patient i, an independent random execution error R_{i,f,k} ~ N(0, sigma^2) with sigma = 2.0 mm was sampled. Total tumor position was:</w:t>
        <w:br/>
        <w:t>r_tumor(t, i, f) = r_resp(t) + S_i + R_{i,f}</w:t>
        <w:br/>
        <w:br/>
        <w:t>Two patient-level success criteria were evaluated:</w:t>
        <w:br/>
        <w:t>- All-Fraction Patient Success: prod_{f=1}^{N_frac} I(CR_min(i, f) &gt;= 95%) = 1 (100% of fractions achieve minimum CR &gt;= 95%).</w:t>
        <w:br/>
        <w:t>- Course-Averaged Patient Success: (1 / N_frac) * sum_{f=1}^{N_frac} I(CR_min(i, f) &gt;= 95%) &gt;= 0.90 (&gt;= 90% of fractions achieve minimum CR &gt;= 95%).</w:t>
        <w:br/>
        <w:t>All random sequences were seeded with np.random.seed(42) ensuring exact reproducible execution.</w:t>
      </w:r>
    </w:p>
    <w:p>
      <w:pPr>
        <w:spacing w:before="160" w:after="40"/>
      </w:pPr>
      <w:r>
        <w:rPr>
          <w:b/>
          <w:color w:val="1E293B"/>
          <w:sz w:val="23"/>
        </w:rPr>
        <w:t>2.7 Theoretical van Herk Recipe Benchmark</w:t>
      </w:r>
    </w:p>
    <w:p>
      <w:r>
        <w:t>Empirical geometric results were benchmarked against the analytical van Herk margin formula [4]: M = 2.5*Sigma + 0.7*sigma, designed to ensure 95% minimum dose to the target for 90% of the patient population. Systematic error was set to Sigma = 2.0 mm, and random error combined setup and breathing motion: sigma = sqrt(sigma_setup^2 + sigma_motion^2), where sigma_motion is the standard deviation of the respiratory excursion along each Cartesian axis.</w:t>
      </w:r>
    </w:p>
    <w:p>
      <w:pPr>
        <w:spacing w:before="240" w:after="60"/>
      </w:pPr>
      <w:r>
        <w:rPr>
          <w:b/>
          <w:color w:val="1E3A8A"/>
          <w:sz w:val="25"/>
        </w:rPr>
        <w:t>3. Results</w:t>
      </w:r>
    </w:p>
    <w:p>
      <w:pPr>
        <w:spacing w:before="160" w:after="40"/>
      </w:pPr>
      <w:r>
        <w:rPr>
          <w:b/>
          <w:color w:val="1E293B"/>
          <w:sz w:val="23"/>
        </w:rPr>
        <w:t>3.1 Kinematics and Multi-Lesion Tracking Fidelity</w:t>
      </w:r>
    </w:p>
    <w:p>
      <w:r>
        <w:t>Table 1 summarizes the kinematic excursions, tracking performance, and analytical van Herk margins across breathing profiles and lesion sizes. In regular respiration, peak-to-peak excursions were LR = 1.20 mm, AP = 3.50 mm, and SI = 12.00 mm, with maximum 3D excursion of 12.37 mm. Deep respiration produced excursions of SI = 22.00 mm and maximum 3D excursion of 22.59 mm. Automated tracking achieved sub-voxel fidelity across all scenarios, with 3D MAE of 0.034 mm for regular and 0.031 mm for deep breathing. Spatial sensitivity across lesion sizes demonstrated that tracking precision improves with increasing lesion volume: r=8 mm achieved MAE of 0.058 mm, r=12 mm achieved 0.034 mm, and r=16 mm achieved 0.021 mm.</w:t>
      </w:r>
    </w:p>
    <w:p>
      <w:r>
        <w:rPr>
          <w:b/>
        </w:rPr>
        <w:t>Table 1: Kinematic Excursions, Multi-Lesion Tracking Fidelity, and Analytical van Herk Margins.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Profile / Lesion Size</w:t>
            </w:r>
          </w:p>
        </w:tc>
        <w:tc>
          <w:tcPr>
            <w:tcW w:type="dxa" w:w="1337"/>
          </w:tcPr>
          <w:p>
            <w:r>
              <w:rPr>
                <w:b/>
              </w:rPr>
              <w:t>LR p2p (mm)</w:t>
            </w:r>
          </w:p>
        </w:tc>
        <w:tc>
          <w:tcPr>
            <w:tcW w:type="dxa" w:w="1337"/>
          </w:tcPr>
          <w:p>
            <w:r>
              <w:rPr>
                <w:b/>
              </w:rPr>
              <w:t>AP p2p (mm)</w:t>
            </w:r>
          </w:p>
        </w:tc>
        <w:tc>
          <w:tcPr>
            <w:tcW w:type="dxa" w:w="1337"/>
          </w:tcPr>
          <w:p>
            <w:r>
              <w:rPr>
                <w:b/>
              </w:rPr>
              <w:t>SI p2p (mm)</w:t>
            </w:r>
          </w:p>
        </w:tc>
        <w:tc>
          <w:tcPr>
            <w:tcW w:type="dxa" w:w="1337"/>
          </w:tcPr>
          <w:p>
            <w:r>
              <w:rPr>
                <w:b/>
              </w:rPr>
              <w:t>Max 3D (mm)</w:t>
            </w:r>
          </w:p>
        </w:tc>
        <w:tc>
          <w:tcPr>
            <w:tcW w:type="dxa" w:w="1337"/>
          </w:tcPr>
          <w:p>
            <w:r>
              <w:rPr>
                <w:b/>
              </w:rPr>
              <w:t>3D MAE (mm)</w:t>
            </w:r>
          </w:p>
        </w:tc>
        <w:tc>
          <w:tcPr>
            <w:tcW w:type="dxa" w:w="1337"/>
          </w:tcPr>
          <w:p>
            <w:r>
              <w:rPr>
                <w:b/>
              </w:rPr>
              <w:t>van Herk [LR, AP, SI] (mm)</w:t>
            </w:r>
          </w:p>
        </w:tc>
      </w:tr>
      <w:tr>
        <w:tc>
          <w:tcPr>
            <w:tcW w:type="dxa" w:w="1337"/>
          </w:tcPr>
          <w:p>
            <w:r>
              <w:t>Regular Respiration (r=12mm)</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0.034</w:t>
            </w:r>
          </w:p>
        </w:tc>
        <w:tc>
          <w:tcPr>
            <w:tcW w:type="dxa" w:w="1337"/>
          </w:tcPr>
          <w:p>
            <w:r>
              <w:t>[6.4, 6.7, 8.4]</w:t>
            </w:r>
          </w:p>
        </w:tc>
      </w:tr>
      <w:tr>
        <w:tc>
          <w:tcPr>
            <w:tcW w:type="dxa" w:w="1337"/>
          </w:tcPr>
          <w:p>
            <w:r>
              <w:t>Deep Respiration</w:t>
            </w:r>
          </w:p>
        </w:tc>
        <w:tc>
          <w:tcPr>
            <w:tcW w:type="dxa" w:w="1337"/>
          </w:tcPr>
          <w:p>
            <w:r>
              <w:t>2.00</w:t>
            </w:r>
          </w:p>
        </w:tc>
        <w:tc>
          <w:tcPr>
            <w:tcW w:type="dxa" w:w="1337"/>
          </w:tcPr>
          <w:p>
            <w:r>
              <w:t>6.00</w:t>
            </w:r>
          </w:p>
        </w:tc>
        <w:tc>
          <w:tcPr>
            <w:tcW w:type="dxa" w:w="1337"/>
          </w:tcPr>
          <w:p>
            <w:r>
              <w:t>22.00</w:t>
            </w:r>
          </w:p>
        </w:tc>
        <w:tc>
          <w:tcPr>
            <w:tcW w:type="dxa" w:w="1337"/>
          </w:tcPr>
          <w:p>
            <w:r>
              <w:t>22.59</w:t>
            </w:r>
          </w:p>
        </w:tc>
        <w:tc>
          <w:tcPr>
            <w:tcW w:type="dxa" w:w="1337"/>
          </w:tcPr>
          <w:p>
            <w:r>
              <w:t>0.031</w:t>
            </w:r>
          </w:p>
        </w:tc>
        <w:tc>
          <w:tcPr>
            <w:tcW w:type="dxa" w:w="1337"/>
          </w:tcPr>
          <w:p>
            <w:r>
              <w:t>[6.5, 7.1, 10.8]</w:t>
            </w:r>
          </w:p>
        </w:tc>
      </w:tr>
      <w:tr>
        <w:tc>
          <w:tcPr>
            <w:tcW w:type="dxa" w:w="1337"/>
          </w:tcPr>
          <w:p>
            <w:r>
              <w:t>Irregular Respiration</w:t>
            </w:r>
          </w:p>
        </w:tc>
        <w:tc>
          <w:tcPr>
            <w:tcW w:type="dxa" w:w="1337"/>
          </w:tcPr>
          <w:p>
            <w:r>
              <w:t>1.66</w:t>
            </w:r>
          </w:p>
        </w:tc>
        <w:tc>
          <w:tcPr>
            <w:tcW w:type="dxa" w:w="1337"/>
          </w:tcPr>
          <w:p>
            <w:r>
              <w:t>4.38</w:t>
            </w:r>
          </w:p>
        </w:tc>
        <w:tc>
          <w:tcPr>
            <w:tcW w:type="dxa" w:w="1337"/>
          </w:tcPr>
          <w:p>
            <w:r>
              <w:t>14.30</w:t>
            </w:r>
          </w:p>
        </w:tc>
        <w:tc>
          <w:tcPr>
            <w:tcW w:type="dxa" w:w="1337"/>
          </w:tcPr>
          <w:p>
            <w:r>
              <w:t>14.74</w:t>
            </w:r>
          </w:p>
        </w:tc>
        <w:tc>
          <w:tcPr>
            <w:tcW w:type="dxa" w:w="1337"/>
          </w:tcPr>
          <w:p>
            <w:r>
              <w:t>0.031</w:t>
            </w:r>
          </w:p>
        </w:tc>
        <w:tc>
          <w:tcPr>
            <w:tcW w:type="dxa" w:w="1337"/>
          </w:tcPr>
          <w:p>
            <w:r>
              <w:t>[6.5, 6.8, 8.9]</w:t>
            </w:r>
          </w:p>
        </w:tc>
      </w:tr>
      <w:tr>
        <w:tc>
          <w:tcPr>
            <w:tcW w:type="dxa" w:w="1337"/>
          </w:tcPr>
          <w:p>
            <w:r>
              <w:t>Small Lesion (r=8mm, 2.1cc)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0.058</w:t>
            </w:r>
          </w:p>
        </w:tc>
        <w:tc>
          <w:tcPr>
            <w:tcW w:type="dxa" w:w="1337"/>
          </w:tcPr>
          <w:p>
            <w:r>
              <w:t>[6.4, 6.7, 8.4]</w:t>
            </w:r>
          </w:p>
        </w:tc>
      </w:tr>
      <w:tr>
        <w:tc>
          <w:tcPr>
            <w:tcW w:type="dxa" w:w="1337"/>
          </w:tcPr>
          <w:p>
            <w:r>
              <w:t>Nominal Lesion (r=12mm, 7.2cc)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0.034</w:t>
            </w:r>
          </w:p>
        </w:tc>
        <w:tc>
          <w:tcPr>
            <w:tcW w:type="dxa" w:w="1337"/>
          </w:tcPr>
          <w:p>
            <w:r>
              <w:t>[6.4, 6.7, 8.4]</w:t>
            </w:r>
          </w:p>
        </w:tc>
      </w:tr>
      <w:tr>
        <w:tc>
          <w:tcPr>
            <w:tcW w:type="dxa" w:w="1337"/>
          </w:tcPr>
          <w:p>
            <w:r>
              <w:t>Large Lesion (r=16mm, 17.2cc)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0.021</w:t>
            </w:r>
          </w:p>
        </w:tc>
        <w:tc>
          <w:tcPr>
            <w:tcW w:type="dxa" w:w="1337"/>
          </w:tcPr>
          <w:p>
            <w:r>
              <w:t>[6.4, 6.7, 8.4]</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spacing w:after="20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spacing w:after="200"/>
        <w:jc w:val="center"/>
      </w:pPr>
      <w:r>
        <w:rPr>
          <w:i/>
          <w:color w:val="475569"/>
          <w:sz w:val="19"/>
        </w:rPr>
        <w:t>Figure 2: 3D tumor centroid trajectories across 10 4D-CT phases, highlighting the T6 End-Exhalation reference phase.</w:t>
      </w:r>
    </w:p>
    <w:p>
      <w:pPr>
        <w:spacing w:before="160" w:after="40"/>
      </w:pPr>
      <w:r>
        <w:rPr>
          <w:b/>
          <w:color w:val="1E293B"/>
          <w:sz w:val="23"/>
        </w:rPr>
        <w:t>3.2 Isotropic Target Margins Benchmark (Table 2)</w:t>
      </w:r>
    </w:p>
    <w:p>
      <w:r>
        <w:t>Table 2 reports the geometric properties and planning 4D-CT coverage of isotropic expansions from the T6 end-exhalation GTV. Margins of 2 mm, 3 mm, and 5 mm yielded planning minimum coverage of 42.2%, 50.1%, and 64.7%, respectively—all failing the study-defined 95% surrogate threshold. An isotropic expansion of 12 mm was necessary to achieve complete coverage (100.0%) across all phases, requiring a large volume of 58.0 cc (+182% over the 5 mm baseline).</w:t>
      </w:r>
    </w:p>
    <w:p>
      <w:r>
        <w:rPr>
          <w:b/>
        </w:rPr>
        <w:t>Table 2: Isotropic Expansion Benchmark: Target Volume, Discretization Fidelity, and Planning Coverage.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Margin (mm)</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pPr>
        <w:spacing w:before="160" w:after="40"/>
      </w:pPr>
      <w:r>
        <w:rPr>
          <w:b/>
          <w:color w:val="1E293B"/>
          <w:sz w:val="23"/>
        </w:rPr>
        <w:t>3.3 Target Strategy Volumes, Planning Coverage, and Multi-Regimen Robustness</w:t>
      </w:r>
    </w:p>
    <w:p>
      <w:r>
        <w:t>Table 3 compares all planning target strategies across planning coverage, Monte Carlo robustness (N=5,000), and setup uncertainty (200 virtual patients). In contrast to isotropic expansions, ITV + 3 mm achieved 100.0% planning coverage with a volume of 22.3 cc (+16.0% vs. 5 mm baseline). Anisotropic PTV (Mid-pos + 2 mm) achieved 99.4% minimum coverage with a volume of only 19.3 cc, sparing 6.3% volume relative to the 5 mm isotropic baseline (-6.3%) and 19.2% volume relative to ITV+3mm. When planned PTVs were tested under deep breathing stress (Az=22 mm), minimum coverage collapsed to 11.7% for Isotropic 5mm, 42.0% for Anisotropic+2mm, and 58.8% for ITV+3mm. Only ITV + 5 mm maintained a mean coverage of 96.1%.</w:t>
      </w:r>
    </w:p>
    <w:p>
      <w:r>
        <w:rPr>
          <w:b/>
        </w:rPr>
        <w:t>Table 3: Comprehensive Target Strategy Comparison: Volume, Planning Coverage, and Multi-Regimen Robustness (N_pat = 200).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Strategy</w:t>
            </w:r>
          </w:p>
        </w:tc>
        <w:tc>
          <w:tcPr>
            <w:tcW w:type="dxa" w:w="1170"/>
          </w:tcPr>
          <w:p>
            <w:r>
              <w:rPr>
                <w:b/>
              </w:rPr>
              <w:t>Vol (cc)</w:t>
            </w:r>
          </w:p>
        </w:tc>
        <w:tc>
          <w:tcPr>
            <w:tcW w:type="dxa" w:w="1170"/>
          </w:tcPr>
          <w:p>
            <w:r>
              <w:rPr>
                <w:b/>
              </w:rPr>
              <w:t>Vol vs 5mm</w:t>
            </w:r>
          </w:p>
        </w:tc>
        <w:tc>
          <w:tcPr>
            <w:tcW w:type="dxa" w:w="1170"/>
          </w:tcPr>
          <w:p>
            <w:r>
              <w:rPr>
                <w:b/>
              </w:rPr>
              <w:t>Plan MinCR</w:t>
            </w:r>
          </w:p>
        </w:tc>
        <w:tc>
          <w:tcPr>
            <w:tcW w:type="dxa" w:w="1170"/>
          </w:tcPr>
          <w:p>
            <w:r>
              <w:rPr>
                <w:b/>
              </w:rPr>
              <w:t>Irreg Pass (Wilson 95% CI)</w:t>
            </w:r>
          </w:p>
        </w:tc>
        <w:tc>
          <w:tcPr>
            <w:tcW w:type="dxa" w:w="1170"/>
          </w:tcPr>
          <w:p>
            <w:r>
              <w:rPr>
                <w:b/>
              </w:rPr>
              <w:t>SBRT 3fx AllPass</w:t>
            </w:r>
          </w:p>
        </w:tc>
        <w:tc>
          <w:tcPr>
            <w:tcW w:type="dxa" w:w="1170"/>
          </w:tcPr>
          <w:p>
            <w:r>
              <w:rPr>
                <w:b/>
              </w:rPr>
              <w:t>SBRT 5fx AllPass</w:t>
            </w:r>
          </w:p>
        </w:tc>
        <w:tc>
          <w:tcPr>
            <w:tcW w:type="dxa" w:w="1170"/>
          </w:tcPr>
          <w:p>
            <w:r>
              <w:rPr>
                <w:b/>
              </w:rPr>
              <w:t>CFRT 30fx FracPass</w:t>
            </w:r>
          </w:p>
        </w:tc>
      </w:tr>
      <w:t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[1.2, 1.8]</w:t>
            </w:r>
          </w:p>
        </w:tc>
      </w:tr>
      <w:t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[68.6, 71.0]</w:t>
            </w:r>
          </w:p>
        </w:tc>
      </w:tr>
      <w:t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[19.7, 21.7]</w:t>
            </w:r>
          </w:p>
        </w:tc>
      </w:tr>
      <w:t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[45.2, 47.7]</w:t>
            </w:r>
          </w:p>
        </w:tc>
      </w:tr>
      <w:t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[67.4, 69.7]</w:t>
            </w:r>
          </w:p>
        </w:tc>
      </w:tr>
      <w:t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[81.7, 83.7]</w:t>
            </w:r>
          </w:p>
        </w:tc>
      </w:tr>
      <w:t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[19.4, 21.5]</w:t>
            </w:r>
          </w:p>
        </w:tc>
      </w:tr>
      <w:t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[41.3, 43.8]</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spacing w:after="200"/>
        <w:jc w:val="center"/>
      </w:pPr>
      <w:r>
        <w:rPr>
          <w:i/>
          <w:color w:val="475569"/>
          <w:sz w:val="19"/>
        </w:rPr>
        <w:t>Figure 3: Geometric Coverage Ratio vs respiratory phase on planning 4D-CT (Regular vs Deep breathing,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spacing w:after="200"/>
        <w:jc w:val="center"/>
      </w:pPr>
      <w:r>
        <w:rPr>
          <w:i/>
          <w:color w:val="475569"/>
          <w:sz w:val="19"/>
        </w:rPr>
        <w:t>Figure 4: Trade-off between PTV volume and minimum target coverage under regular respiration.</w:t>
      </w:r>
    </w:p>
    <w:p>
      <w:pPr>
        <w:spacing w:before="160" w:after="40"/>
      </w:pPr>
      <w:r>
        <w:rPr>
          <w:b/>
          <w:color w:val="1E293B"/>
          <w:sz w:val="23"/>
        </w:rPr>
        <w:t>3.4 Multi-Lesion Robustness Analysis (Table 4)</w:t>
      </w:r>
    </w:p>
    <w:p>
      <w:r>
        <w:t>Table 4 analyzes target coverage robustness across the three lesion volumes (r = 8, 12, 16 mm). Smaller lesions (r = 8.0 mm, V = 2.14 cc) exhibited severe sensitivity to setup errors: for ITV + 3 mm, SBRT 5-fraction all-pass success fell to only 0.5% (95% Wilson CI: [0.1%, 2.8%]), and even ITV + 5 mm achieved only 29.5% all-pass success. In contrast, for large lesions (r = 16.0 mm, V = 17.16 cc), ITV + 5 mm achieved a 60.0% all-pass success rate and 97.9% irregular MC pass rate. This occurs because smaller spherical lesions possess a higher surface-to-volume ratio, causing a greater fraction of target voxels to migrate outside the margin envelope under rigid translational shifts.</w:t>
      </w:r>
    </w:p>
    <w:p>
      <w:r>
        <w:rPr>
          <w:b/>
        </w:rPr>
        <w:t>Table 4: Multi-Lesion Robustness Analysis: Target Volume, Irregular MC Pass Rate, and SBRT Success (N_pat = 200).</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Lesion Radius</w:t>
            </w:r>
          </w:p>
        </w:tc>
        <w:tc>
          <w:tcPr>
            <w:tcW w:type="dxa" w:w="1337"/>
          </w:tcPr>
          <w:p>
            <w:r>
              <w:rPr>
                <w:b/>
              </w:rPr>
              <w:t>GTV Vol</w:t>
            </w:r>
          </w:p>
        </w:tc>
        <w:tc>
          <w:tcPr>
            <w:tcW w:type="dxa" w:w="1337"/>
          </w:tcPr>
          <w:p>
            <w:r>
              <w:rPr>
                <w:b/>
              </w:rPr>
              <w:t>Target Strategy</w:t>
            </w:r>
          </w:p>
        </w:tc>
        <w:tc>
          <w:tcPr>
            <w:tcW w:type="dxa" w:w="1337"/>
          </w:tcPr>
          <w:p>
            <w:r>
              <w:rPr>
                <w:b/>
              </w:rPr>
              <w:t>PTV Vol</w:t>
            </w:r>
          </w:p>
        </w:tc>
        <w:tc>
          <w:tcPr>
            <w:tcW w:type="dxa" w:w="1337"/>
          </w:tcPr>
          <w:p>
            <w:r>
              <w:rPr>
                <w:b/>
              </w:rPr>
              <w:t>Plan MinCR</w:t>
            </w:r>
          </w:p>
        </w:tc>
        <w:tc>
          <w:tcPr>
            <w:tcW w:type="dxa" w:w="1337"/>
          </w:tcPr>
          <w:p>
            <w:r>
              <w:rPr>
                <w:b/>
              </w:rPr>
              <w:t>Irreg MC Pass (Wilson CI)</w:t>
            </w:r>
          </w:p>
        </w:tc>
        <w:tc>
          <w:tcPr>
            <w:tcW w:type="dxa" w:w="1337"/>
          </w:tcPr>
          <w:p>
            <w:r>
              <w:rPr>
                <w:b/>
              </w:rPr>
              <w:t>SBRT 5fx AllPass (Wilson CI)</w:t>
            </w:r>
          </w:p>
        </w:tc>
      </w:tr>
      <w:tr>
        <w:tc>
          <w:tcPr>
            <w:tcW w:type="dxa" w:w="1337"/>
          </w:tcPr>
          <w:p>
            <w:r>
              <w:t>r = 8 mm</w:t>
            </w:r>
          </w:p>
        </w:tc>
        <w:tc>
          <w:tcPr>
            <w:tcW w:type="dxa" w:w="1337"/>
          </w:tcPr>
          <w:p>
            <w:r>
              <w:t>2.1 cc</w:t>
            </w:r>
          </w:p>
        </w:tc>
        <w:tc>
          <w:tcPr>
            <w:tcW w:type="dxa" w:w="1337"/>
          </w:tcPr>
          <w:p>
            <w:r>
              <w:t>ITV + 3mm</w:t>
            </w:r>
          </w:p>
        </w:tc>
        <w:tc>
          <w:tcPr>
            <w:tcW w:type="dxa" w:w="1337"/>
          </w:tcPr>
          <w:p>
            <w:r>
              <w:t>9.9 cc</w:t>
            </w:r>
          </w:p>
        </w:tc>
        <w:tc>
          <w:tcPr>
            <w:tcW w:type="dxa" w:w="1337"/>
          </w:tcPr>
          <w:p>
            <w:r>
              <w:t>100.0%</w:t>
            </w:r>
          </w:p>
        </w:tc>
        <w:tc>
          <w:tcPr>
            <w:tcW w:type="dxa" w:w="1337"/>
          </w:tcPr>
          <w:p>
            <w:r>
              <w:t>54.9% [52.7, 57.1]</w:t>
            </w:r>
          </w:p>
        </w:tc>
        <w:tc>
          <w:tcPr>
            <w:tcW w:type="dxa" w:w="1337"/>
          </w:tcPr>
          <w:p>
            <w:r>
              <w:t>0.5% [0.1, 2.8]</w:t>
            </w:r>
          </w:p>
        </w:tc>
      </w:tr>
      <w:tr>
        <w:tc>
          <w:tcPr>
            <w:tcW w:type="dxa" w:w="1337"/>
          </w:tcPr>
          <w:p>
            <w:r>
              <w:t>r = 8 mm</w:t>
            </w:r>
          </w:p>
        </w:tc>
        <w:tc>
          <w:tcPr>
            <w:tcW w:type="dxa" w:w="1337"/>
          </w:tcPr>
          <w:p>
            <w:r>
              <w:t>2.1 cc</w:t>
            </w:r>
          </w:p>
        </w:tc>
        <w:tc>
          <w:tcPr>
            <w:tcW w:type="dxa" w:w="1337"/>
          </w:tcPr>
          <w:p>
            <w:r>
              <w:t>ITV + 5mm</w:t>
            </w:r>
          </w:p>
        </w:tc>
        <w:tc>
          <w:tcPr>
            <w:tcW w:type="dxa" w:w="1337"/>
          </w:tcPr>
          <w:p>
            <w:r>
              <w:t>15.1 cc</w:t>
            </w:r>
          </w:p>
        </w:tc>
        <w:tc>
          <w:tcPr>
            <w:tcW w:type="dxa" w:w="1337"/>
          </w:tcPr>
          <w:p>
            <w:r>
              <w:t>100.0%</w:t>
            </w:r>
          </w:p>
        </w:tc>
        <w:tc>
          <w:tcPr>
            <w:tcW w:type="dxa" w:w="1337"/>
          </w:tcPr>
          <w:p>
            <w:r>
              <w:t>86.3% [84.7, 87.7]</w:t>
            </w:r>
          </w:p>
        </w:tc>
        <w:tc>
          <w:tcPr>
            <w:tcW w:type="dxa" w:w="1337"/>
          </w:tcPr>
          <w:p>
            <w:r>
              <w:t>29.5% [23.6, 36.2]</w:t>
            </w:r>
          </w:p>
        </w:tc>
      </w:tr>
      <w:tr>
        <w:tc>
          <w:tcPr>
            <w:tcW w:type="dxa" w:w="1337"/>
          </w:tcPr>
          <w:p>
            <w:r>
              <w:t>r = 12 mm</w:t>
            </w:r>
          </w:p>
        </w:tc>
        <w:tc>
          <w:tcPr>
            <w:tcW w:type="dxa" w:w="1337"/>
          </w:tcPr>
          <w:p>
            <w:r>
              <w:t>7.2 cc</w:t>
            </w:r>
          </w:p>
        </w:tc>
        <w:tc>
          <w:tcPr>
            <w:tcW w:type="dxa" w:w="1337"/>
          </w:tcPr>
          <w:p>
            <w:r>
              <w:t>ITV + 3mm</w:t>
            </w:r>
          </w:p>
        </w:tc>
        <w:tc>
          <w:tcPr>
            <w:tcW w:type="dxa" w:w="1337"/>
          </w:tcPr>
          <w:p>
            <w:r>
              <w:t>22.3 cc</w:t>
            </w:r>
          </w:p>
        </w:tc>
        <w:tc>
          <w:tcPr>
            <w:tcW w:type="dxa" w:w="1337"/>
          </w:tcPr>
          <w:p>
            <w:r>
              <w:t>100.0%</w:t>
            </w:r>
          </w:p>
        </w:tc>
        <w:tc>
          <w:tcPr>
            <w:tcW w:type="dxa" w:w="1337"/>
          </w:tcPr>
          <w:p>
            <w:r>
              <w:t>67.8% [65.7, 69.8]</w:t>
            </w:r>
          </w:p>
        </w:tc>
        <w:tc>
          <w:tcPr>
            <w:tcW w:type="dxa" w:w="1337"/>
          </w:tcPr>
          <w:p>
            <w:r>
              <w:t>6.5% [3.8, 10.8]</w:t>
            </w:r>
          </w:p>
        </w:tc>
      </w:tr>
      <w:tr>
        <w:tc>
          <w:tcPr>
            <w:tcW w:type="dxa" w:w="1337"/>
          </w:tcPr>
          <w:p>
            <w:r>
              <w:t>r = 12 mm</w:t>
            </w:r>
          </w:p>
        </w:tc>
        <w:tc>
          <w:tcPr>
            <w:tcW w:type="dxa" w:w="1337"/>
          </w:tcPr>
          <w:p>
            <w:r>
              <w:t>7.2 cc</w:t>
            </w:r>
          </w:p>
        </w:tc>
        <w:tc>
          <w:tcPr>
            <w:tcW w:type="dxa" w:w="1337"/>
          </w:tcPr>
          <w:p>
            <w:r>
              <w:t>ITV + 5mm</w:t>
            </w:r>
          </w:p>
        </w:tc>
        <w:tc>
          <w:tcPr>
            <w:tcW w:type="dxa" w:w="1337"/>
          </w:tcPr>
          <w:p>
            <w:r>
              <w:t>31.0 cc</w:t>
            </w:r>
          </w:p>
        </w:tc>
        <w:tc>
          <w:tcPr>
            <w:tcW w:type="dxa" w:w="1337"/>
          </w:tcPr>
          <w:p>
            <w:r>
              <w:t>100.0%</w:t>
            </w:r>
          </w:p>
        </w:tc>
        <w:tc>
          <w:tcPr>
            <w:tcW w:type="dxa" w:w="1337"/>
          </w:tcPr>
          <w:p>
            <w:r>
              <w:t>96.3% [95.4, 97.0]</w:t>
            </w:r>
          </w:p>
        </w:tc>
        <w:tc>
          <w:tcPr>
            <w:tcW w:type="dxa" w:w="1337"/>
          </w:tcPr>
          <w:p>
            <w:r>
              <w:t>51.0% [44.1, 57.8]</w:t>
            </w:r>
          </w:p>
        </w:tc>
      </w:tr>
      <w:tr>
        <w:tc>
          <w:tcPr>
            <w:tcW w:type="dxa" w:w="1337"/>
          </w:tcPr>
          <w:p>
            <w:r>
              <w:t>r = 16 mm</w:t>
            </w:r>
          </w:p>
        </w:tc>
        <w:tc>
          <w:tcPr>
            <w:tcW w:type="dxa" w:w="1337"/>
          </w:tcPr>
          <w:p>
            <w:r>
              <w:t>17.2 cc</w:t>
            </w:r>
          </w:p>
        </w:tc>
        <w:tc>
          <w:tcPr>
            <w:tcW w:type="dxa" w:w="1337"/>
          </w:tcPr>
          <w:p>
            <w:r>
              <w:t>ITV + 3mm</w:t>
            </w:r>
          </w:p>
        </w:tc>
        <w:tc>
          <w:tcPr>
            <w:tcW w:type="dxa" w:w="1337"/>
          </w:tcPr>
          <w:p>
            <w:r>
              <w:t>41.7 cc</w:t>
            </w:r>
          </w:p>
        </w:tc>
        <w:tc>
          <w:tcPr>
            <w:tcW w:type="dxa" w:w="1337"/>
          </w:tcPr>
          <w:p>
            <w:r>
              <w:t>100.0%</w:t>
            </w:r>
          </w:p>
        </w:tc>
        <w:tc>
          <w:tcPr>
            <w:tcW w:type="dxa" w:w="1337"/>
          </w:tcPr>
          <w:p>
            <w:r>
              <w:t>81.2% [79.5, 82.9]</w:t>
            </w:r>
          </w:p>
        </w:tc>
        <w:tc>
          <w:tcPr>
            <w:tcW w:type="dxa" w:w="1337"/>
          </w:tcPr>
          <w:p>
            <w:r>
              <w:t>9.0% [5.8, 13.8]</w:t>
            </w:r>
          </w:p>
        </w:tc>
      </w:tr>
      <w:tr>
        <w:tc>
          <w:tcPr>
            <w:tcW w:type="dxa" w:w="1337"/>
          </w:tcPr>
          <w:p>
            <w:r>
              <w:t>r = 16 mm</w:t>
            </w:r>
          </w:p>
        </w:tc>
        <w:tc>
          <w:tcPr>
            <w:tcW w:type="dxa" w:w="1337"/>
          </w:tcPr>
          <w:p>
            <w:r>
              <w:t>17.2 cc</w:t>
            </w:r>
          </w:p>
        </w:tc>
        <w:tc>
          <w:tcPr>
            <w:tcW w:type="dxa" w:w="1337"/>
          </w:tcPr>
          <w:p>
            <w:r>
              <w:t>ITV + 5mm</w:t>
            </w:r>
          </w:p>
        </w:tc>
        <w:tc>
          <w:tcPr>
            <w:tcW w:type="dxa" w:w="1337"/>
          </w:tcPr>
          <w:p>
            <w:r>
              <w:t>54.5 cc</w:t>
            </w:r>
          </w:p>
        </w:tc>
        <w:tc>
          <w:tcPr>
            <w:tcW w:type="dxa" w:w="1337"/>
          </w:tcPr>
          <w:p>
            <w:r>
              <w:t>100.0%</w:t>
            </w:r>
          </w:p>
        </w:tc>
        <w:tc>
          <w:tcPr>
            <w:tcW w:type="dxa" w:w="1337"/>
          </w:tcPr>
          <w:p>
            <w:r>
              <w:t>97.9% [97.1, 98.4]</w:t>
            </w:r>
          </w:p>
        </w:tc>
        <w:tc>
          <w:tcPr>
            <w:tcW w:type="dxa" w:w="1337"/>
          </w:tcPr>
          <w:p>
            <w:r>
              <w:t>60.0% [53.1, 66.5]</w:t>
            </w:r>
          </w:p>
        </w:tc>
      </w:tr>
    </w:tbl>
    <w:p>
      <w:pPr>
        <w:spacing w:before="160" w:after="40"/>
      </w:pPr>
      <w:r>
        <w:rPr>
          <w:b/>
          <w:color w:val="1E293B"/>
          <w:sz w:val="23"/>
        </w:rPr>
        <w:t>3.5 Monte Carlo Robustness and Multi-Regimen Setup Uncertainty</w:t>
      </w:r>
    </w:p>
    <w:p>
      <w:r>
        <w:t>In the independent N=5,000 Monte Carlo simulation, ITV + 3 mm demonstrated excellent stability under regular unseen respiration (pass rate: 100.0%, 95% Wilson CI: [99.92%, 100.00%]; mean min CR: 99.97%). However, under irregular breathing with baseline drift, the pass rate for ITV + 3 mm dropped to 68.3% (95% Wilson CI: [66.96%, 69.54%]; mean min CR: 96.0%, 95% empirical range: [82.8%, 100.0%]). Anisotropic + 2 mm suffered a severe drop, passing in only 18.3% of irregular cycles.</w:t>
        <w:br/>
        <w:br/>
        <w:t>In sharp contrast, ITV + 5 mm maintained high robustness, achieving a 96.2% pass rate under irregular breathing (95% Wilson CI: [95.68%, 96.73%]; mean min CR: 99.2%, 95% empirical range: [94.7%, 100.0%]).</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spacing w:after="200"/>
        <w:jc w:val="center"/>
      </w:pPr>
      <w:r>
        <w:rPr>
          <w:i/>
          <w:color w:val="475569"/>
          <w:sz w:val="19"/>
        </w:rPr>
        <w:t>Figure 5: Target robustness across motion amplitudes (Az = 10 to 22 mm). (A) Pass rate with 95% Wilson score CIs; (B) Minimum coverage ratio with mean and empirical 95% inter-percentile range [P2.5, P97.5].</w:t>
      </w:r>
    </w:p>
    <w:p>
      <w:r>
        <w:t>Under combined respiration and setup uncertainty across 200 virtual patients (Sigma=2.0 mm systematic, sigma=2.0 mm random error), the performance of target margins differed drastically across fractionation schemes:</w:t>
        <w:br/>
        <w:t>1. SBRT 3-Fraction Course (600 sessions): ITV + 3 mm achieved a fraction pass rate of 51.3% and an all-fraction patient success rate of 16.5% (Wilson 95% CI: [12.0%, 22.3%]). Expanding to ITV + 5 mm increased the fraction pass rate to 85.8% and the all-fraction success rate to 66.0% (Wilson 95% CI: [59.2%, 72.2%]).</w:t>
        <w:br/>
        <w:t>2. SBRT 5-Fraction Course (1,000 sessions): For ITV + 3 mm, all-fraction patient success fell to only 6.0% (Wilson 95% CI: [3.5%, 10.2%]). ITV + 5 mm restored all-fraction success to 53.0% (Wilson 95% CI: [46.1%, 59.8%]).</w:t>
        <w:br/>
        <w:t>3. CFRT 30-Fraction Course (6,000 sessions): Due to cumulative daily errors, ITV + 3 mm achieved an 46.4% fraction pass rate and 0.0% all-fraction patient success. ITV + 5 mm achieved an 82.7% fraction pass rate (Wilson 95% CI: [81.7%, 83.7%]) and a 46.5% course-averaged patient success rate.</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spacing w:after="200"/>
        <w:jc w:val="center"/>
      </w:pPr>
      <w:r>
        <w:rPr>
          <w:i/>
          <w:color w:val="475569"/>
          <w:sz w:val="19"/>
        </w:rPr>
        <w:t>Figure 6: Target robustness under respiration &amp; setup uncertainty across fractionation regimens (N_pat = 200). (A) CFRT 30-fraction distribution; (B) SBRT 3-fx and 5-fx patient-level success rates.</w:t>
      </w:r>
    </w:p>
    <w:p>
      <w:pPr>
        <w:spacing w:before="240" w:after="60"/>
      </w:pPr>
      <w:r>
        <w:rPr>
          <w:b/>
          <w:color w:val="1E3A8A"/>
          <w:sz w:val="25"/>
        </w:rPr>
        <w:t>4. Discussion</w:t>
      </w:r>
    </w:p>
    <w:p>
      <w:r>
        <w:t>This study establishes an open-source, reproducible simulation framework evaluating the interplay between 4D-CT respiratory kinematics, margin strategies, and statistical robustness. By testing frozen planning PTVs on independent unseen breathing cycles and multi-regimen setup uncertainty models across 200 virtual patients, this work directly addresses the methodological tautology present in prior literature, where target strategies were evaluated solely on the 10 planning phases from which they were derived.</w:t>
      </w:r>
    </w:p>
    <w:p>
      <w:r>
        <w:t>A paramount finding of this study is the critical vulnerability of tight setup margins in hypofractionated SBRT. While ITV + 3 mm and Anisotropic Mid-position + 2 mm appear optimal on planning 4D-CT—achieving 100% and 99.4% coverage while sparing normal tissue volume—their performance degrades sharply under real-world clinical variations. In our 5-fraction SBRT simulation combining 2 mm systematic preparation error and 2 mm random execution error across 200 virtual patients, ITV + 3 mm yielded an acceptable whole-course treatment in only 6.0% of patients. This vulnerability arises because systematic errors shift the entire fractional trajectory outside the narrow 3 mm margin envelope, and random day-to-day fluctuations cannot average out over a 3- to 5-fraction course [4, 18].</w:t>
      </w:r>
    </w:p>
    <w:p>
      <w:r>
        <w:t>These empirical findings provide quantitative support for the newly published AAPM Task Group 324 Report 91.b (2026) [2], which recommends that clinical ITV-to-PTV margins should typically range from 4 to 5 mm in the absence of real-time tracking or active gating. Expanding the ITV setup margin to 4 mm and 5 mm boosted SBRT 5-fraction all-pass success to 27.0% and 53.0%, respectively, and elevated CFRT fraction pass rates to 82.7%. The theoretical van Herk recipe similarly predicted required SI margins of 8.37 mm for regular and 10.78 mm for deep respiration, underscoring that population-level coverage demands substantial margin allocation.</w:t>
      </w:r>
    </w:p>
    <w:p>
      <w:pPr>
        <w:spacing w:before="160" w:after="40"/>
      </w:pPr>
      <w:r>
        <w:rPr>
          <w:b/>
          <w:color w:val="1E293B"/>
          <w:sz w:val="23"/>
        </w:rPr>
        <w:t>4.5 Study Limitations and Future Work</w:t>
      </w:r>
    </w:p>
    <w:p>
      <w:r>
        <w:t>Several important methodological limitations must be acknowledged:</w:t>
        <w:br/>
        <w:t>1. Rigid Phantom Target Assumption: The present simulation utilizes a rigid spherical tumor embedded in synthetic parenchyma. In clinical practice, lung lesions and surrounding lung tissue experience non-rigid, elastic deformation during respiration [6, 13]. Rigid sphere modeling provides an upper bound on geometric stability; non-rigid deformation could introduce additional localized undercoverage.</w:t>
        <w:br/>
        <w:t>2. Geometric Coverage Ratio vs. Absorbed Dose: The study-defined Coverage Ratio (CR &gt;= 95%) serves as a geometric surrogate for target coverage. True clinical outcomes depend on 4D Monte Carlo dose calculation, which accounts for tissue density heterogeneities, lateral electron disequilibrium in low-density lung tissue, and patient-specific beam geometries [5, 7]. Geometric undercoverage does not directly translate to dosimetric cold spots due to beam penumbra and scatter.</w:t>
        <w:br/>
        <w:t>3. Surrogate Tracking vs. Internal Motion: Real-world 4D-CT acquisition relies on external breathing surrogates (spirometry, optical surface markers, or abdominal pressure sensors) [1, 12]. Phase-shifts and irregular correlation between external surrogates and internal tumor motion can cause reconstruction artifacts (stitching, duplication, or blurring) not simulated in our idealized 10-phase model.</w:t>
        <w:br/>
        <w:t>4. Hypofractionated Radiobiology: While geometric undercoverage is severe in short courses, tumor control probability (TCP) also depends on dose escalation per fraction and hypoxic reoxygenation kinetics [18, 19]. Future investigations will incorporate deformable image registration (DIR), patient-specific 4D-CT datasets, and 4D Monte Carlo dose accumulation algorithms.</w:t>
      </w:r>
    </w:p>
    <w:p>
      <w:pPr>
        <w:spacing w:before="240" w:after="60"/>
      </w:pPr>
      <w:r>
        <w:rPr>
          <w:b/>
          <w:color w:val="1E3A8A"/>
          <w:sz w:val="25"/>
        </w:rPr>
        <w:t>5. Conclusion</w:t>
      </w:r>
    </w:p>
    <w:p>
      <w:r>
        <w:t>In conclusion, while anisotropic and tight ITV margins (&lt;= 3 mm) offer substantial theoretical normal tissue sparing under regular breathing, they are highly vulnerable to baseline drift and setup uncertainty. Expanding to ITV + 5 mm substantially improves geometric robustness compared to tight 3 mm margins, but does not eliminate undercoverage: 17.3% of individual treatment fractions in conventional radiotherapy and 47.0% of patients in 5-fraction SBRT experienced geometric undercoverage without daily correction. Therefore, in concordance with AAPM TG-324 Report 91.b, an ITV setup margin of 4 to 5 mm serves as a commonly utilized clinical baseline for free-breathing lung SBRT, yet remains vulnerable unless coupled with daily volumetric image guidance (CBCT) or active motion management.</w:t>
      </w:r>
    </w:p>
    <w:p>
      <w:pPr>
        <w:spacing w:before="240" w:after="60"/>
      </w:pPr>
      <w:r>
        <w:rPr>
          <w:b/>
          <w:color w:val="1E3A8A"/>
          <w:sz w:val="25"/>
        </w:rPr>
        <w:t>Declarations</w:t>
      </w:r>
    </w:p>
    <w:p>
      <w:r>
        <w:t>Data and Code Availability: The complete simulation source code, synthetic phantom generation pipeline, and analysis routines are maintained in an open public repository at https://github.com/anhvu7123/4d-ct-lung-motion under the MIT open-source license.</w:t>
      </w:r>
    </w:p>
    <w:p>
      <w:r>
        <w:t>Declaration of Generative AI: During the preparation of this manuscript, generative AI tools (Anthropic Claude, Google Gemini) were utilized for code structuring, syntactic refinement, and formatting assistance. All scientific modeling, mathematical formulas, data analysis, and manuscript conclusions were verified and validated by the author.</w:t>
      </w:r>
    </w:p>
    <w:p>
      <w:r>
        <w:t>Funding and Competing Interests: The author declares that no external funding was received for this work and that no competing financial or non-financial interests exist.</w:t>
      </w:r>
    </w:p>
    <w:p>
      <w:pPr>
        <w:spacing w:before="240" w:after="60"/>
      </w:pPr>
      <w:r>
        <w:rPr>
          <w:b/>
          <w:color w:val="1E3A8A"/>
          <w:sz w:val="25"/>
        </w:rPr>
        <w:t>References</w:t>
      </w:r>
    </w:p>
    <w:p>
      <w:pPr>
        <w:ind w:left="360" w:hanging="360"/>
      </w:pPr>
      <w:r>
        <w:t>1. Keall PJ, Mageras GS, Balter JM, et al. The management of respiratory motion in radiation oncology report of AAPM Task Group 76. Med Phys. 2006;33(10):3874-3900.</w:t>
      </w:r>
    </w:p>
    <w:p>
      <w:pPr>
        <w:ind w:left="360" w:hanging="360"/>
      </w:pPr>
      <w:r>
        <w:t>2. AAPM Task Group 324. The Management of Respiratory Motion in Radiation Oncology: AAPM Task Group Report 91.b. Med Phys. 2026. DOI: 10.1002/mp.70677.</w:t>
      </w:r>
    </w:p>
    <w:p>
      <w:pPr>
        <w:ind w:left="360" w:hanging="360"/>
      </w:pPr>
      <w:r>
        <w:t>3. van Herk M. Errors and margins in radiotherapy. Semin Radiat Oncol. 2004;14(1):52-64.</w:t>
      </w:r>
    </w:p>
    <w:p>
      <w:pPr>
        <w:ind w:left="360" w:hanging="360"/>
      </w:pPr>
      <w:r>
        <w:t>4. van Herk M, Remeijer P, Rasch C, Lebesque JV. The probability of correct target dosage: logic, computer simulations, and the margin recipe. Int J Radiat Oncol Biol Phys. 2000;47(4):1121-1135.</w:t>
      </w:r>
    </w:p>
    <w:p>
      <w:pPr>
        <w:ind w:left="360" w:hanging="360"/>
      </w:pPr>
      <w:r>
        <w:t>5. Lujan AE, Larsen EW, Balter JM, Ten Haken RK. A method for incorporating organ motion due to breathing into 3D dose calculations. Med Phys. 1999;26(5):715-720.</w:t>
      </w:r>
    </w:p>
    <w:p>
      <w:pPr>
        <w:ind w:left="360" w:hanging="360"/>
      </w:pPr>
      <w:r>
        <w:t>6. Seppenwoolde Y, Shirato H, Kitamura K, et al. Precise and real-time measurement of 3D internal marker motion in lung sphere. Int J Radiat Oncol Biol Phys. 2002;53(4):822-834.</w:t>
      </w:r>
    </w:p>
    <w:p>
      <w:pPr>
        <w:ind w:left="360" w:hanging="360"/>
      </w:pPr>
      <w:r>
        <w:t>7. International Commission on Radiation Units and Measurements. ICRU Report 83: Prescribing, Recording, and Reporting Photon-Beam Intensity-Modulated Radiation Therapy (IMRT). J ICRU. 2010;10(1).</w:t>
      </w:r>
    </w:p>
    <w:p>
      <w:pPr>
        <w:ind w:left="360" w:hanging="360"/>
      </w:pPr>
      <w:r>
        <w:t>8. Underberg RWM, Lagerwaard FJ, Slotman BJ, Cuijpers JP, Senan S. Use of maximum intensity projections (MIP) for target volume generation in 4DCT scans for lung cancer. Int J Radiat Oncol Biol Phys. 2005;63(1):253-260.</w:t>
      </w:r>
    </w:p>
    <w:p>
      <w:pPr>
        <w:ind w:left="360" w:hanging="360"/>
      </w:pPr>
      <w:r>
        <w:t>9. Wolthaus JW, Schneider C, Sonke JJ, et al. Reconstruction of a time-averaged midposition CT scan for lung cancer patients. Med Phys. 2008;35(9):3998-4011.</w:t>
      </w:r>
    </w:p>
    <w:p>
      <w:pPr>
        <w:ind w:left="360" w:hanging="360"/>
      </w:pPr>
      <w:r>
        <w:t>10. Sonke JJ, Lebesque J, van Herk M. Variability of four-dimensional computed tomography patient models. Int J Radiat Oncol Biol Phys. 2008;70(2):590-598.</w:t>
      </w:r>
    </w:p>
    <w:p>
      <w:pPr>
        <w:ind w:left="360" w:hanging="360"/>
      </w:pPr>
      <w:r>
        <w:t>11. Shirato H, Seppenwoolde Y, Kitamura K, Onimaru R, Shimizu S. High-precision hypofractionated radiation therapy for lung cancer: real-time tumor tracking and gating. Int J Clin Oncol. 2003;8(2):78-84.</w:t>
      </w:r>
    </w:p>
    <w:p>
      <w:pPr>
        <w:ind w:left="360" w:hanging="360"/>
      </w:pPr>
      <w:r>
        <w:t>12. Vedam SS, Keall PJ, Kini VR, Mostafavi H, Shukla HP, Mohan R. Acquiring a four-dimensional computed tomography dataset using an external respiratory signal. Phys Med Biol. 2003;48(1):45-62.</w:t>
      </w:r>
    </w:p>
    <w:p>
      <w:pPr>
        <w:ind w:left="360" w:hanging="360"/>
      </w:pPr>
      <w:r>
        <w:t>13. Rietzel E, Chen GTY, Choi NC, Willet CG. Four-dimensional image-based treatment planning: Target volume segmentation and dose calculation in the presence of respiratory motion. Int J Radiat Oncol Biol Phys. 2005;61(5):1535-1550.</w:t>
      </w:r>
    </w:p>
    <w:p>
      <w:pPr>
        <w:ind w:left="360" w:hanging="360"/>
      </w:pPr>
      <w:r>
        <w:t>14. Engelsman M, Damen EM, De Jaeger K, van Ingen KM, Mijnheer BJ. The effect of breathing motion and setup errors on the margin between CTV and PTV in lung cancer patients. Int J Radiat Oncol Biol Phys. 2001;50(5):1357-1365.</w:t>
      </w:r>
    </w:p>
    <w:p>
      <w:pPr>
        <w:ind w:left="360" w:hanging="360"/>
      </w:pPr>
      <w:r>
        <w:t>15. Guckenberger M, Wilbert J, Krieger T, et al. Four-dimensional computed tomography (4DCT) for determination of the minimum margin between the clinical target volume and planning target volume in stereotactic body radiotherapy (SBRT) for lung tumors. Int J Radiat Oncol Biol Phys. 2009;74(2):581-588.</w:t>
      </w:r>
    </w:p>
    <w:p>
      <w:pPr>
        <w:ind w:left="360" w:hanging="360"/>
      </w:pPr>
      <w:r>
        <w:t>16. Bissonnette JP, Franks KN, Purdie TG, et al. Quantifying interfraction and intrafraction tumor motion in lung stereotactic body radiotherapy using cone-beam computed tomography. Int J Radiat Oncol Biol Phys. 2009;75(3):688-695.</w:t>
      </w:r>
    </w:p>
    <w:p>
      <w:pPr>
        <w:ind w:left="360" w:hanging="360"/>
      </w:pPr>
      <w:r>
        <w:t>17. Wilson EB. Probable inference, the law of succession, and statistical inference. J Am Stat Assoc. 1927;22(158):209-212.</w:t>
      </w:r>
    </w:p>
    <w:p>
      <w:pPr>
        <w:ind w:left="360" w:hanging="360"/>
      </w:pPr>
      <w:r>
        <w:t>18. Timmerman R, McGarry R, Yiannoutsos C, et al. Excessive toxicity when treating central tumors in a large number of fractions: RTOG 0236 trial. J Clin Oncol. 2006;24(30):4833-4839.</w:t>
      </w:r>
    </w:p>
    <w:p>
      <w:pPr>
        <w:ind w:left="360" w:hanging="360"/>
      </w:pPr>
      <w:r>
        <w:t>19. Benedict SH, Yenice KM, Followill D, et al. Stereotactic body radiation therapy: The report of AAPM Task Group 101. Med Phys. 2010;37(8):4078-4101.</w:t>
      </w:r>
    </w:p>
    <w:p>
      <w:pPr>
        <w:ind w:left="360" w:hanging="360"/>
      </w:pPr>
      <w: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